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97437" w14:textId="06DCB6BA" w:rsidR="00793B72" w:rsidRPr="00793B72" w:rsidRDefault="004F4681" w:rsidP="00BC3D69">
      <w:pPr>
        <w:pBdr>
          <w:bottom w:val="single" w:sz="4" w:space="1" w:color="auto"/>
        </w:pBdr>
        <w:spacing w:line="360" w:lineRule="auto"/>
        <w:jc w:val="center"/>
        <w:rPr>
          <w:b/>
          <w:bCs/>
          <w:lang w:val="en-US"/>
        </w:rPr>
      </w:pPr>
      <w:r>
        <w:rPr>
          <w:b/>
          <w:bCs/>
          <w:lang w:val="en-US"/>
        </w:rPr>
        <w:t xml:space="preserve">AN ODE TO ACCOUNTABILITY: </w:t>
      </w:r>
      <w:r w:rsidR="00793B72" w:rsidRPr="00793B72">
        <w:rPr>
          <w:b/>
          <w:bCs/>
          <w:lang w:val="en-US"/>
        </w:rPr>
        <w:t>DEVELOPING A RESPONSIVE PUBLIC DUTY REGIME BEYOND TRADITIONAL PUBLIC AND PRIVATE LAW MEASURES</w:t>
      </w:r>
    </w:p>
    <w:p w14:paraId="5C32D2A3" w14:textId="573486AE" w:rsidR="00793B72" w:rsidRDefault="00793B72" w:rsidP="00BC3D69">
      <w:pPr>
        <w:spacing w:line="360" w:lineRule="auto"/>
        <w:jc w:val="center"/>
        <w:rPr>
          <w:b/>
          <w:bCs/>
          <w:i/>
          <w:iCs/>
          <w:lang w:val="en-US"/>
        </w:rPr>
      </w:pPr>
      <w:r w:rsidRPr="00793B72">
        <w:rPr>
          <w:b/>
          <w:bCs/>
          <w:i/>
          <w:iCs/>
          <w:lang w:val="en-US"/>
        </w:rPr>
        <w:t>Abstract</w:t>
      </w:r>
    </w:p>
    <w:p w14:paraId="026486D1" w14:textId="315DDB28" w:rsidR="00793B72" w:rsidRPr="008C3B8F" w:rsidRDefault="008336B5" w:rsidP="00BC3D69">
      <w:pPr>
        <w:spacing w:line="360" w:lineRule="auto"/>
        <w:rPr>
          <w:i/>
          <w:iCs/>
          <w:lang w:val="en-US"/>
        </w:rPr>
      </w:pPr>
      <w:r w:rsidRPr="008C3B8F">
        <w:rPr>
          <w:i/>
          <w:iCs/>
          <w:lang w:val="en-US"/>
        </w:rPr>
        <w:t xml:space="preserve">Adopting a parochial outlook, the Indian public responsibility regime </w:t>
      </w:r>
      <w:r w:rsidR="008C3B8F" w:rsidRPr="008C3B8F">
        <w:rPr>
          <w:i/>
          <w:iCs/>
          <w:lang w:val="en-US"/>
        </w:rPr>
        <w:t xml:space="preserve">on </w:t>
      </w:r>
      <w:r w:rsidRPr="008C3B8F">
        <w:rPr>
          <w:i/>
          <w:iCs/>
          <w:lang w:val="en-US"/>
        </w:rPr>
        <w:t>public officials</w:t>
      </w:r>
      <w:r w:rsidR="008C3B8F" w:rsidRPr="008C3B8F">
        <w:rPr>
          <w:i/>
          <w:iCs/>
          <w:lang w:val="en-US"/>
        </w:rPr>
        <w:t>’ liability i</w:t>
      </w:r>
      <w:r w:rsidRPr="008C3B8F">
        <w:rPr>
          <w:i/>
          <w:iCs/>
          <w:lang w:val="en-US"/>
        </w:rPr>
        <w:t>s outdated, rigid, and subjective. While public, private and criminal law categorization as an exception to the traditional notions of sovereign immunity</w:t>
      </w:r>
      <w:r w:rsidR="008C3B8F" w:rsidRPr="008C3B8F">
        <w:rPr>
          <w:i/>
          <w:iCs/>
          <w:lang w:val="en-US"/>
        </w:rPr>
        <w:t xml:space="preserve"> exist</w:t>
      </w:r>
      <w:r w:rsidR="00AE42FE">
        <w:rPr>
          <w:i/>
          <w:iCs/>
          <w:lang w:val="en-US"/>
        </w:rPr>
        <w:t>s</w:t>
      </w:r>
      <w:r w:rsidRPr="008C3B8F">
        <w:rPr>
          <w:i/>
          <w:iCs/>
          <w:lang w:val="en-US"/>
        </w:rPr>
        <w:t xml:space="preserve">, constitutional courts have failed to discharge their obligations in full when we </w:t>
      </w:r>
      <w:r w:rsidR="00E42060">
        <w:rPr>
          <w:i/>
          <w:iCs/>
          <w:lang w:val="en-US"/>
        </w:rPr>
        <w:t xml:space="preserve">compare </w:t>
      </w:r>
      <w:r w:rsidR="007C4D80">
        <w:rPr>
          <w:i/>
          <w:iCs/>
          <w:lang w:val="en-US"/>
        </w:rPr>
        <w:t xml:space="preserve">the </w:t>
      </w:r>
      <w:r w:rsidR="00E42060">
        <w:rPr>
          <w:i/>
          <w:iCs/>
          <w:lang w:val="en-US"/>
        </w:rPr>
        <w:t>Indian accountability regime</w:t>
      </w:r>
      <w:r w:rsidRPr="008C3B8F">
        <w:rPr>
          <w:i/>
          <w:iCs/>
          <w:lang w:val="en-US"/>
        </w:rPr>
        <w:t xml:space="preserve"> to international instruments like ICCPR and th</w:t>
      </w:r>
      <w:r w:rsidR="008C3B8F" w:rsidRPr="008C3B8F">
        <w:rPr>
          <w:i/>
          <w:iCs/>
          <w:lang w:val="en-US"/>
        </w:rPr>
        <w:t>e</w:t>
      </w:r>
      <w:r w:rsidRPr="008C3B8F">
        <w:rPr>
          <w:i/>
          <w:iCs/>
          <w:lang w:val="en-US"/>
        </w:rPr>
        <w:t xml:space="preserve"> practices from other jurisdictions. Today, the challenge emanating from public offices against the public expectations is manifold. Ranging from administrative inaction to suppression of legal rights, the spectrum includes widely debated issues of Indian constitutional parlance like incarceration, malicious prosecution, </w:t>
      </w:r>
      <w:r w:rsidR="008C3B8F" w:rsidRPr="008C3B8F">
        <w:rPr>
          <w:i/>
          <w:iCs/>
          <w:lang w:val="en-US"/>
        </w:rPr>
        <w:t xml:space="preserve">inhumanly treatment in custody </w:t>
      </w:r>
      <w:r w:rsidRPr="008C3B8F">
        <w:rPr>
          <w:i/>
          <w:iCs/>
          <w:lang w:val="en-US"/>
        </w:rPr>
        <w:t xml:space="preserve">and illegal detention among others. </w:t>
      </w:r>
      <w:r w:rsidR="008C3B8F" w:rsidRPr="008C3B8F">
        <w:rPr>
          <w:i/>
          <w:iCs/>
          <w:lang w:val="en-US"/>
        </w:rPr>
        <w:t xml:space="preserve">Even when the </w:t>
      </w:r>
      <w:r w:rsidR="004D66AB" w:rsidRPr="008C3B8F">
        <w:rPr>
          <w:i/>
          <w:iCs/>
          <w:lang w:val="en-US"/>
        </w:rPr>
        <w:t xml:space="preserve">remedy </w:t>
      </w:r>
      <w:r w:rsidR="008C3B8F" w:rsidRPr="008C3B8F">
        <w:rPr>
          <w:i/>
          <w:iCs/>
          <w:lang w:val="en-US"/>
        </w:rPr>
        <w:t xml:space="preserve">against </w:t>
      </w:r>
      <w:r w:rsidR="004D66AB" w:rsidRPr="008C3B8F">
        <w:rPr>
          <w:i/>
          <w:iCs/>
          <w:lang w:val="en-US"/>
        </w:rPr>
        <w:t>omi</w:t>
      </w:r>
      <w:r w:rsidR="008C3B8F" w:rsidRPr="008C3B8F">
        <w:rPr>
          <w:i/>
          <w:iCs/>
          <w:lang w:val="en-US"/>
        </w:rPr>
        <w:t>ssion</w:t>
      </w:r>
      <w:r w:rsidR="004D66AB" w:rsidRPr="008C3B8F">
        <w:rPr>
          <w:i/>
          <w:iCs/>
          <w:lang w:val="en-US"/>
        </w:rPr>
        <w:t xml:space="preserve"> to preserve fundamental rights might be available under </w:t>
      </w:r>
      <w:r w:rsidR="00AE42FE">
        <w:rPr>
          <w:i/>
          <w:iCs/>
          <w:lang w:val="en-US"/>
        </w:rPr>
        <w:t xml:space="preserve">the </w:t>
      </w:r>
      <w:r w:rsidR="008C3B8F" w:rsidRPr="008C3B8F">
        <w:rPr>
          <w:i/>
          <w:iCs/>
          <w:lang w:val="en-US"/>
        </w:rPr>
        <w:t xml:space="preserve">public law domain, the private and criminal law domains look incompetent to tackle the present challenge. The author through this essay, outlining the Indian legal stance on the theme explores implementable solutions that may bring a change in the status quo. Such change would not only serve social needs but also conform to the constitutional </w:t>
      </w:r>
      <w:r w:rsidR="008C3B8F">
        <w:rPr>
          <w:i/>
          <w:iCs/>
          <w:lang w:val="en-US"/>
        </w:rPr>
        <w:t>ideals</w:t>
      </w:r>
      <w:r w:rsidR="008C3B8F" w:rsidRPr="008C3B8F">
        <w:rPr>
          <w:i/>
          <w:iCs/>
          <w:lang w:val="en-US"/>
        </w:rPr>
        <w:t xml:space="preserve"> of liberty and justice </w:t>
      </w:r>
      <w:r w:rsidR="00E42060">
        <w:rPr>
          <w:i/>
          <w:iCs/>
          <w:lang w:val="en-US"/>
        </w:rPr>
        <w:t>for the</w:t>
      </w:r>
      <w:r w:rsidR="008C3B8F" w:rsidRPr="008C3B8F">
        <w:rPr>
          <w:i/>
          <w:iCs/>
          <w:lang w:val="en-US"/>
        </w:rPr>
        <w:t xml:space="preserve"> Indian society. </w:t>
      </w:r>
    </w:p>
    <w:p w14:paraId="397D4F6D" w14:textId="77777777" w:rsidR="00E42060" w:rsidRDefault="00E42060" w:rsidP="00BC3D69">
      <w:pPr>
        <w:spacing w:line="360" w:lineRule="auto"/>
        <w:jc w:val="center"/>
        <w:rPr>
          <w:b/>
          <w:smallCaps/>
          <w:lang w:val="en-US"/>
        </w:rPr>
      </w:pPr>
    </w:p>
    <w:p w14:paraId="135A6A94" w14:textId="066706D2" w:rsidR="00E642CF" w:rsidRDefault="006529E5" w:rsidP="00BC3D69">
      <w:pPr>
        <w:spacing w:line="360" w:lineRule="auto"/>
        <w:jc w:val="center"/>
        <w:rPr>
          <w:lang w:val="en-US"/>
        </w:rPr>
      </w:pPr>
      <w:r w:rsidRPr="006529E5">
        <w:rPr>
          <w:b/>
          <w:smallCaps/>
          <w:lang w:val="en-US"/>
        </w:rPr>
        <w:t>Introduction</w:t>
      </w:r>
    </w:p>
    <w:p w14:paraId="65A632E9" w14:textId="78AD6412" w:rsidR="00A5581C" w:rsidRDefault="00131305" w:rsidP="00BC3D69">
      <w:pPr>
        <w:spacing w:line="360" w:lineRule="auto"/>
        <w:rPr>
          <w:lang w:val="en-US"/>
        </w:rPr>
      </w:pPr>
      <w:r>
        <w:rPr>
          <w:lang w:val="en-US"/>
        </w:rPr>
        <w:t>It would be prudent to start the discussion on the topic by citing two peculiar cases. First, of increasing encounters in India</w:t>
      </w:r>
      <w:r w:rsidR="0029554E">
        <w:rPr>
          <w:rStyle w:val="FootnoteReference"/>
          <w:lang w:val="en-US"/>
        </w:rPr>
        <w:footnoteReference w:id="1"/>
      </w:r>
      <w:r>
        <w:rPr>
          <w:lang w:val="en-US"/>
        </w:rPr>
        <w:t xml:space="preserve"> and second, the increase in </w:t>
      </w:r>
      <w:r w:rsidR="00AE42FE">
        <w:rPr>
          <w:lang w:val="en-US"/>
        </w:rPr>
        <w:t xml:space="preserve">the </w:t>
      </w:r>
      <w:r>
        <w:rPr>
          <w:lang w:val="en-US"/>
        </w:rPr>
        <w:t>number of custodial violence by policy including custodial deaths under mysterious circumstances.</w:t>
      </w:r>
      <w:r w:rsidR="0029554E">
        <w:rPr>
          <w:rStyle w:val="FootnoteReference"/>
          <w:lang w:val="en-US"/>
        </w:rPr>
        <w:footnoteReference w:id="2"/>
      </w:r>
      <w:r>
        <w:rPr>
          <w:lang w:val="en-US"/>
        </w:rPr>
        <w:t xml:space="preserve"> While </w:t>
      </w:r>
      <w:r w:rsidR="00E42060">
        <w:rPr>
          <w:lang w:val="en-US"/>
        </w:rPr>
        <w:t>official accountability</w:t>
      </w:r>
      <w:r>
        <w:rPr>
          <w:lang w:val="en-US"/>
        </w:rPr>
        <w:t xml:space="preserve"> is a global concern as </w:t>
      </w:r>
      <w:r w:rsidR="007C4D80">
        <w:rPr>
          <w:lang w:val="en-US"/>
        </w:rPr>
        <w:t xml:space="preserve">the </w:t>
      </w:r>
      <w:r>
        <w:rPr>
          <w:lang w:val="en-US"/>
        </w:rPr>
        <w:t>George Floyd incident from the US demonstrated,</w:t>
      </w:r>
      <w:r w:rsidR="0029554E">
        <w:rPr>
          <w:rStyle w:val="FootnoteReference"/>
          <w:lang w:val="en-US"/>
        </w:rPr>
        <w:footnoteReference w:id="3"/>
      </w:r>
      <w:r>
        <w:rPr>
          <w:lang w:val="en-US"/>
        </w:rPr>
        <w:t xml:space="preserve"> </w:t>
      </w:r>
      <w:r w:rsidR="00E42060">
        <w:rPr>
          <w:lang w:val="en-US"/>
        </w:rPr>
        <w:t xml:space="preserve">in India accountability is touching new lows. </w:t>
      </w:r>
      <w:r w:rsidR="00A5581C">
        <w:rPr>
          <w:lang w:val="en-US"/>
        </w:rPr>
        <w:t xml:space="preserve">In addition to </w:t>
      </w:r>
      <w:r w:rsidR="00E42060">
        <w:rPr>
          <w:lang w:val="en-US"/>
        </w:rPr>
        <w:t xml:space="preserve">positive act </w:t>
      </w:r>
      <w:r w:rsidR="00294EED">
        <w:rPr>
          <w:lang w:val="en-US"/>
        </w:rPr>
        <w:t>encroach</w:t>
      </w:r>
      <w:r w:rsidR="00A5581C">
        <w:rPr>
          <w:lang w:val="en-US"/>
        </w:rPr>
        <w:t>ment o</w:t>
      </w:r>
      <w:r w:rsidR="00E42060">
        <w:rPr>
          <w:lang w:val="en-US"/>
        </w:rPr>
        <w:t xml:space="preserve">n </w:t>
      </w:r>
      <w:r w:rsidR="00294EED">
        <w:rPr>
          <w:lang w:val="en-US"/>
        </w:rPr>
        <w:t>individual liberty</w:t>
      </w:r>
      <w:r w:rsidR="00A5581C">
        <w:rPr>
          <w:lang w:val="en-US"/>
        </w:rPr>
        <w:t xml:space="preserve">, the </w:t>
      </w:r>
      <w:r w:rsidR="00E42060">
        <w:rPr>
          <w:lang w:val="en-US"/>
        </w:rPr>
        <w:t xml:space="preserve">public </w:t>
      </w:r>
      <w:r w:rsidR="00A5581C">
        <w:rPr>
          <w:lang w:val="en-US"/>
        </w:rPr>
        <w:t xml:space="preserve">authorities </w:t>
      </w:r>
      <w:r w:rsidR="00E42060">
        <w:rPr>
          <w:lang w:val="en-US"/>
        </w:rPr>
        <w:t>omit</w:t>
      </w:r>
      <w:r w:rsidR="00A5581C">
        <w:rPr>
          <w:lang w:val="en-US"/>
        </w:rPr>
        <w:t xml:space="preserve"> their obligations</w:t>
      </w:r>
      <w:r w:rsidR="00E42060">
        <w:rPr>
          <w:lang w:val="en-US"/>
        </w:rPr>
        <w:t>;</w:t>
      </w:r>
      <w:r w:rsidR="00294EED">
        <w:rPr>
          <w:lang w:val="en-US"/>
        </w:rPr>
        <w:t xml:space="preserve"> going against their duty of protecting fundamental and human rights i.e., inaction or inactivity. </w:t>
      </w:r>
      <w:r w:rsidR="00A5581C">
        <w:rPr>
          <w:lang w:val="en-US"/>
        </w:rPr>
        <w:t xml:space="preserve">Doing all this removes humanistic touch from the legal process and </w:t>
      </w:r>
      <w:r w:rsidR="00824EAE">
        <w:rPr>
          <w:lang w:val="en-US"/>
        </w:rPr>
        <w:t>rights’ enforcement appears a redundant idea.</w:t>
      </w:r>
    </w:p>
    <w:p w14:paraId="652683A1" w14:textId="77777777" w:rsidR="00A5581C" w:rsidRDefault="00A5581C" w:rsidP="00BC3D69">
      <w:pPr>
        <w:spacing w:line="360" w:lineRule="auto"/>
        <w:rPr>
          <w:lang w:val="en-US"/>
        </w:rPr>
      </w:pPr>
    </w:p>
    <w:p w14:paraId="63B5F3FB" w14:textId="40876F47" w:rsidR="00E642CF" w:rsidRDefault="00294EED" w:rsidP="00BC3D69">
      <w:pPr>
        <w:spacing w:line="360" w:lineRule="auto"/>
        <w:rPr>
          <w:lang w:val="en-US"/>
        </w:rPr>
      </w:pPr>
      <w:r>
        <w:rPr>
          <w:lang w:val="en-US"/>
        </w:rPr>
        <w:t>Inacti</w:t>
      </w:r>
      <w:r w:rsidR="00A5581C">
        <w:rPr>
          <w:lang w:val="en-US"/>
        </w:rPr>
        <w:t xml:space="preserve">vity and negligence </w:t>
      </w:r>
      <w:r w:rsidR="00824EAE">
        <w:rPr>
          <w:lang w:val="en-US"/>
        </w:rPr>
        <w:t>are not</w:t>
      </w:r>
      <w:r>
        <w:rPr>
          <w:lang w:val="en-US"/>
        </w:rPr>
        <w:t xml:space="preserve"> restricted </w:t>
      </w:r>
      <w:r w:rsidR="00824EAE">
        <w:rPr>
          <w:lang w:val="en-US"/>
        </w:rPr>
        <w:t>to</w:t>
      </w:r>
      <w:r>
        <w:rPr>
          <w:lang w:val="en-US"/>
        </w:rPr>
        <w:t xml:space="preserve"> criminal law</w:t>
      </w:r>
      <w:r w:rsidR="00824EAE">
        <w:rPr>
          <w:lang w:val="en-US"/>
        </w:rPr>
        <w:t>.</w:t>
      </w:r>
      <w:r>
        <w:rPr>
          <w:lang w:val="en-US"/>
        </w:rPr>
        <w:t xml:space="preserve"> </w:t>
      </w:r>
      <w:r w:rsidR="00981E84">
        <w:rPr>
          <w:lang w:val="en-US"/>
        </w:rPr>
        <w:t xml:space="preserve"> </w:t>
      </w:r>
      <w:r>
        <w:rPr>
          <w:lang w:val="en-US"/>
        </w:rPr>
        <w:t xml:space="preserve">Rather, </w:t>
      </w:r>
      <w:r w:rsidR="00A5581C">
        <w:rPr>
          <w:lang w:val="en-US"/>
        </w:rPr>
        <w:t>they</w:t>
      </w:r>
      <w:r>
        <w:rPr>
          <w:lang w:val="en-US"/>
        </w:rPr>
        <w:t xml:space="preserve"> transgress </w:t>
      </w:r>
      <w:r w:rsidR="00A5581C">
        <w:rPr>
          <w:lang w:val="en-US"/>
        </w:rPr>
        <w:t>events of</w:t>
      </w:r>
      <w:r>
        <w:rPr>
          <w:lang w:val="en-US"/>
        </w:rPr>
        <w:t xml:space="preserve"> delays in public work, harming </w:t>
      </w:r>
      <w:r w:rsidR="00AE42FE">
        <w:rPr>
          <w:lang w:val="en-US"/>
        </w:rPr>
        <w:t xml:space="preserve">the </w:t>
      </w:r>
      <w:r>
        <w:rPr>
          <w:lang w:val="en-US"/>
        </w:rPr>
        <w:t>right</w:t>
      </w:r>
      <w:r w:rsidR="00AE42FE">
        <w:rPr>
          <w:lang w:val="en-US"/>
        </w:rPr>
        <w:t>s</w:t>
      </w:r>
      <w:r>
        <w:rPr>
          <w:lang w:val="en-US"/>
        </w:rPr>
        <w:t xml:space="preserve"> of an individual or just delaying decision</w:t>
      </w:r>
      <w:r w:rsidR="00824EAE">
        <w:rPr>
          <w:lang w:val="en-US"/>
        </w:rPr>
        <w:t xml:space="preserve">s </w:t>
      </w:r>
      <w:r>
        <w:rPr>
          <w:lang w:val="en-US"/>
        </w:rPr>
        <w:t>which in</w:t>
      </w:r>
      <w:r w:rsidR="00A5581C">
        <w:rPr>
          <w:lang w:val="en-US"/>
        </w:rPr>
        <w:t xml:space="preserve"> turn limi</w:t>
      </w:r>
      <w:r w:rsidR="00824EAE">
        <w:rPr>
          <w:lang w:val="en-US"/>
        </w:rPr>
        <w:t xml:space="preserve">t </w:t>
      </w:r>
      <w:r w:rsidR="00A5581C">
        <w:rPr>
          <w:lang w:val="en-US"/>
        </w:rPr>
        <w:t>the</w:t>
      </w:r>
      <w:r>
        <w:rPr>
          <w:lang w:val="en-US"/>
        </w:rPr>
        <w:t xml:space="preserve"> benefits an individual could have received</w:t>
      </w:r>
      <w:r w:rsidR="00824EAE">
        <w:rPr>
          <w:lang w:val="en-US"/>
        </w:rPr>
        <w:t xml:space="preserve">. </w:t>
      </w:r>
      <w:r w:rsidR="00A5581C">
        <w:rPr>
          <w:lang w:val="en-US"/>
        </w:rPr>
        <w:t xml:space="preserve">The public duty doctrine </w:t>
      </w:r>
      <w:r w:rsidR="007C4D80">
        <w:rPr>
          <w:lang w:val="en-US"/>
        </w:rPr>
        <w:t>is</w:t>
      </w:r>
      <w:r w:rsidR="00A5581C">
        <w:rPr>
          <w:lang w:val="en-US"/>
        </w:rPr>
        <w:t xml:space="preserve"> traditional and static and does not conform to </w:t>
      </w:r>
      <w:r w:rsidR="00AE42FE">
        <w:rPr>
          <w:lang w:val="en-US"/>
        </w:rPr>
        <w:t xml:space="preserve">the </w:t>
      </w:r>
      <w:r w:rsidR="00824EAE">
        <w:rPr>
          <w:lang w:val="en-US"/>
        </w:rPr>
        <w:t>present demands.</w:t>
      </w:r>
      <w:r w:rsidR="00A5581C">
        <w:rPr>
          <w:lang w:val="en-US"/>
        </w:rPr>
        <w:t xml:space="preserve"> In light of this rights-based </w:t>
      </w:r>
      <w:r w:rsidR="00824EAE">
        <w:rPr>
          <w:lang w:val="en-US"/>
        </w:rPr>
        <w:t>demand</w:t>
      </w:r>
      <w:r w:rsidR="00A5581C">
        <w:rPr>
          <w:lang w:val="en-US"/>
        </w:rPr>
        <w:t xml:space="preserve">, </w:t>
      </w:r>
      <w:r w:rsidR="00824EAE">
        <w:rPr>
          <w:lang w:val="en-US"/>
        </w:rPr>
        <w:t>this essay has been written</w:t>
      </w:r>
      <w:r w:rsidR="00A5581C">
        <w:rPr>
          <w:lang w:val="en-US"/>
        </w:rPr>
        <w:t xml:space="preserve">. The essay starts with outlining the public duty doctrine, its elements and the </w:t>
      </w:r>
      <w:r w:rsidR="00640B0A">
        <w:rPr>
          <w:lang w:val="en-US"/>
        </w:rPr>
        <w:t>existing law. The essay then discu</w:t>
      </w:r>
      <w:r w:rsidR="00AE42FE">
        <w:rPr>
          <w:lang w:val="en-US"/>
        </w:rPr>
        <w:t>s</w:t>
      </w:r>
      <w:r w:rsidR="00640B0A">
        <w:rPr>
          <w:lang w:val="en-US"/>
        </w:rPr>
        <w:t xml:space="preserve">ses the issues grappling </w:t>
      </w:r>
      <w:r w:rsidR="007C4D80">
        <w:rPr>
          <w:lang w:val="en-US"/>
        </w:rPr>
        <w:t xml:space="preserve">with </w:t>
      </w:r>
      <w:r w:rsidR="00640B0A">
        <w:rPr>
          <w:lang w:val="en-US"/>
        </w:rPr>
        <w:t xml:space="preserve">the present regime. The essay </w:t>
      </w:r>
      <w:r w:rsidR="00824EAE">
        <w:rPr>
          <w:lang w:val="en-US"/>
        </w:rPr>
        <w:t xml:space="preserve">then </w:t>
      </w:r>
      <w:r w:rsidR="00640B0A">
        <w:rPr>
          <w:lang w:val="en-US"/>
        </w:rPr>
        <w:t xml:space="preserve">concludes after suggesting implementable solutions. </w:t>
      </w:r>
    </w:p>
    <w:p w14:paraId="77435FFA" w14:textId="77777777" w:rsidR="00286BBA" w:rsidRDefault="00286BBA" w:rsidP="00BC3D69">
      <w:pPr>
        <w:spacing w:line="360" w:lineRule="auto"/>
        <w:rPr>
          <w:lang w:val="en-US"/>
        </w:rPr>
      </w:pPr>
    </w:p>
    <w:p w14:paraId="7864EDEB" w14:textId="69E0B63A" w:rsidR="00E642CF" w:rsidRPr="006529E5" w:rsidRDefault="006529E5" w:rsidP="00BC3D69">
      <w:pPr>
        <w:pStyle w:val="ListParagraph"/>
        <w:numPr>
          <w:ilvl w:val="0"/>
          <w:numId w:val="1"/>
        </w:numPr>
        <w:spacing w:line="360" w:lineRule="auto"/>
        <w:jc w:val="center"/>
        <w:rPr>
          <w:lang w:val="en-US"/>
        </w:rPr>
      </w:pPr>
      <w:r w:rsidRPr="006529E5">
        <w:rPr>
          <w:b/>
          <w:bCs/>
          <w:smallCaps/>
          <w:lang w:val="en-US"/>
        </w:rPr>
        <w:t>Public Duty Doctrine: The Fundamentals</w:t>
      </w:r>
    </w:p>
    <w:p w14:paraId="61EF433F" w14:textId="77777777" w:rsidR="00824EAE" w:rsidRDefault="000878DB" w:rsidP="00BC3D69">
      <w:pPr>
        <w:spacing w:line="360" w:lineRule="auto"/>
        <w:rPr>
          <w:lang w:val="en-US"/>
        </w:rPr>
      </w:pPr>
      <w:r>
        <w:rPr>
          <w:lang w:val="en-US"/>
        </w:rPr>
        <w:t xml:space="preserve">The traditional public duty doctrine (as it is widely understood) is restricted to malicious prosecutions, harms done by public servants and custodial violence et cetera. That in turn makes it clear that </w:t>
      </w:r>
      <w:r w:rsidR="00AE42FE">
        <w:rPr>
          <w:lang w:val="en-US"/>
        </w:rPr>
        <w:t xml:space="preserve">the </w:t>
      </w:r>
      <w:r>
        <w:rPr>
          <w:lang w:val="en-US"/>
        </w:rPr>
        <w:t>public duty doctrine has been more inclined to cure illegal actions than illegal omissions</w:t>
      </w:r>
      <w:r w:rsidR="00824EAE">
        <w:rPr>
          <w:lang w:val="en-US"/>
        </w:rPr>
        <w:t xml:space="preserve">. </w:t>
      </w:r>
    </w:p>
    <w:p w14:paraId="49B823CC" w14:textId="77777777" w:rsidR="00824EAE" w:rsidRDefault="00824EAE" w:rsidP="00BC3D69">
      <w:pPr>
        <w:spacing w:line="360" w:lineRule="auto"/>
        <w:rPr>
          <w:lang w:val="en-US"/>
        </w:rPr>
      </w:pPr>
    </w:p>
    <w:p w14:paraId="625E4BF4" w14:textId="26C4BBCE" w:rsidR="000878DB" w:rsidRDefault="00824EAE" w:rsidP="00BC3D69">
      <w:pPr>
        <w:spacing w:line="360" w:lineRule="auto"/>
        <w:rPr>
          <w:lang w:val="en-US"/>
        </w:rPr>
      </w:pPr>
      <w:r>
        <w:rPr>
          <w:lang w:val="en-US"/>
        </w:rPr>
        <w:t>While t</w:t>
      </w:r>
      <w:r w:rsidR="00303C93">
        <w:rPr>
          <w:lang w:val="en-US"/>
        </w:rPr>
        <w:t>he European law stands on a different footing altogether with detailed theoretical principles to guide the judiciary in course of adjudication</w:t>
      </w:r>
      <w:r>
        <w:rPr>
          <w:lang w:val="en-US"/>
        </w:rPr>
        <w:t xml:space="preserve">, the Indian public duty doctrine as a judiciary-driven development was never concretized with time as we will see. </w:t>
      </w:r>
      <w:r w:rsidR="00303C93">
        <w:rPr>
          <w:lang w:val="en-US"/>
        </w:rPr>
        <w:t xml:space="preserve"> From tort of m</w:t>
      </w:r>
      <w:r w:rsidR="006F2633">
        <w:rPr>
          <w:lang w:val="en-US"/>
        </w:rPr>
        <w:t>is</w:t>
      </w:r>
      <w:r w:rsidR="00303C93">
        <w:rPr>
          <w:lang w:val="en-US"/>
        </w:rPr>
        <w:t>feasance</w:t>
      </w:r>
      <w:r w:rsidR="000E7AAC">
        <w:rPr>
          <w:rStyle w:val="FootnoteReference"/>
          <w:lang w:val="en-US"/>
        </w:rPr>
        <w:footnoteReference w:id="4"/>
      </w:r>
      <w:r w:rsidR="006F2633">
        <w:rPr>
          <w:lang w:val="en-US"/>
        </w:rPr>
        <w:t xml:space="preserve"> (‘TOM’)</w:t>
      </w:r>
      <w:r w:rsidR="00303C93">
        <w:rPr>
          <w:lang w:val="en-US"/>
        </w:rPr>
        <w:t xml:space="preserve"> to public duty doctrine envisaged under letters of </w:t>
      </w:r>
      <w:r w:rsidR="00AE42FE">
        <w:rPr>
          <w:lang w:val="en-US"/>
        </w:rPr>
        <w:t xml:space="preserve">the </w:t>
      </w:r>
      <w:r w:rsidR="00303C93">
        <w:rPr>
          <w:lang w:val="en-US"/>
        </w:rPr>
        <w:t xml:space="preserve">constitution, </w:t>
      </w:r>
      <w:r w:rsidR="007C4D80">
        <w:rPr>
          <w:lang w:val="en-US"/>
        </w:rPr>
        <w:t xml:space="preserve">the </w:t>
      </w:r>
      <w:r w:rsidR="00303C93">
        <w:rPr>
          <w:lang w:val="en-US"/>
        </w:rPr>
        <w:t xml:space="preserve">European </w:t>
      </w:r>
      <w:r>
        <w:rPr>
          <w:lang w:val="en-US"/>
        </w:rPr>
        <w:t xml:space="preserve">legal regime includes constitution and statutory backing to effectuate accountability. </w:t>
      </w:r>
      <w:r w:rsidR="00303C93">
        <w:rPr>
          <w:lang w:val="en-US"/>
        </w:rPr>
        <w:t xml:space="preserve"> </w:t>
      </w:r>
    </w:p>
    <w:p w14:paraId="79496236" w14:textId="77777777" w:rsidR="003B4721" w:rsidRDefault="003B4721" w:rsidP="00BC3D69">
      <w:pPr>
        <w:spacing w:line="360" w:lineRule="auto"/>
        <w:rPr>
          <w:lang w:val="en-US"/>
        </w:rPr>
      </w:pPr>
    </w:p>
    <w:p w14:paraId="22A2E80A" w14:textId="5694AE93" w:rsidR="006F2633" w:rsidRDefault="006F2633" w:rsidP="00BC3D69">
      <w:pPr>
        <w:spacing w:line="360" w:lineRule="auto"/>
      </w:pPr>
      <w:r>
        <w:rPr>
          <w:lang w:val="en-US"/>
        </w:rPr>
        <w:t>The fundamental element of TOM is the mental requirement of the officer to i) either engage in targeted malice knowing that the act is illegal or a crime in itself</w:t>
      </w:r>
      <w:r w:rsidR="000E7AAC">
        <w:rPr>
          <w:rStyle w:val="FootnoteReference"/>
          <w:lang w:val="en-US"/>
        </w:rPr>
        <w:footnoteReference w:id="5"/>
      </w:r>
      <w:r>
        <w:rPr>
          <w:lang w:val="en-US"/>
        </w:rPr>
        <w:t xml:space="preserve"> or ii) to engage in untargeted malice, an offence against which is made out when the officer “</w:t>
      </w:r>
      <w:r>
        <w:t>acts in the knowledge that</w:t>
      </w:r>
      <w:r w:rsidR="00966181">
        <w:t xml:space="preserve"> if</w:t>
      </w:r>
      <w:r>
        <w:t xml:space="preserve"> he exceeds his powers, </w:t>
      </w:r>
      <w:r w:rsidR="00966181">
        <w:t>the</w:t>
      </w:r>
      <w:r>
        <w:t xml:space="preserve"> act would probably injure the claimant”.</w:t>
      </w:r>
      <w:r w:rsidR="00966181">
        <w:rPr>
          <w:rStyle w:val="FootnoteReference"/>
        </w:rPr>
        <w:footnoteReference w:id="6"/>
      </w:r>
    </w:p>
    <w:p w14:paraId="293C8AA0" w14:textId="129EE568" w:rsidR="000E7AAC" w:rsidRDefault="000E7AAC" w:rsidP="00BC3D69">
      <w:pPr>
        <w:spacing w:line="360" w:lineRule="auto"/>
      </w:pPr>
    </w:p>
    <w:p w14:paraId="37A12708" w14:textId="51E16BAA" w:rsidR="001C7BCC" w:rsidRDefault="001C7BCC" w:rsidP="00BC3D69">
      <w:pPr>
        <w:spacing w:line="360" w:lineRule="auto"/>
      </w:pPr>
      <w:r>
        <w:t>Multiple standards for culpability emanate. The public official may</w:t>
      </w:r>
      <w:r w:rsidR="00AE42FE">
        <w:t xml:space="preserve"> </w:t>
      </w:r>
      <w:r>
        <w:t xml:space="preserve">be charged for different stages </w:t>
      </w:r>
      <w:r w:rsidR="00824EAE">
        <w:t xml:space="preserve">of act or omissions resulting in </w:t>
      </w:r>
      <w:r>
        <w:t xml:space="preserve">subjectivity. For instance, due to </w:t>
      </w:r>
      <w:r w:rsidR="00AE42FE">
        <w:t xml:space="preserve">the </w:t>
      </w:r>
      <w:r w:rsidR="002A3017">
        <w:t>availability</w:t>
      </w:r>
      <w:r>
        <w:t xml:space="preserve"> of sovereign immunity to </w:t>
      </w:r>
      <w:r w:rsidR="00AE42FE">
        <w:t xml:space="preserve">a </w:t>
      </w:r>
      <w:r>
        <w:t xml:space="preserve">certain level, the completion of </w:t>
      </w:r>
      <w:r w:rsidR="00AE42FE">
        <w:t xml:space="preserve">the </w:t>
      </w:r>
      <w:r>
        <w:t xml:space="preserve">judicial process might be fixed as a requirement to start litigation against the officer whose conduct harmed the claimant. Thus, </w:t>
      </w:r>
      <w:r>
        <w:lastRenderedPageBreak/>
        <w:t xml:space="preserve">if a person who has been falsely charged with an offence is forced by the police to admit to the crime, the person can only start litigation against the officer concerned all appeals are exhausted to the claimant’s detriment. Sadly, in absence of any special law on the point, this has been the general route in India. </w:t>
      </w:r>
    </w:p>
    <w:p w14:paraId="04190564" w14:textId="4EF07CC2" w:rsidR="001C7BCC" w:rsidRDefault="001C7BCC" w:rsidP="00BC3D69">
      <w:pPr>
        <w:spacing w:line="360" w:lineRule="auto"/>
      </w:pPr>
    </w:p>
    <w:p w14:paraId="7AEEF77D" w14:textId="26CAF877" w:rsidR="001C7BCC" w:rsidRDefault="00F92421" w:rsidP="00BC3D69">
      <w:pPr>
        <w:spacing w:line="360" w:lineRule="auto"/>
      </w:pPr>
      <w:r>
        <w:t xml:space="preserve">Under </w:t>
      </w:r>
      <w:r w:rsidR="00AE42FE">
        <w:t>A</w:t>
      </w:r>
      <w:r>
        <w:t xml:space="preserve">rticle 14(6) of the ICCPR, </w:t>
      </w:r>
      <w:r w:rsidR="00C61530">
        <w:t>State has to compensate a p</w:t>
      </w:r>
      <w:r w:rsidR="004D66AB">
        <w:t xml:space="preserve">erson convicted </w:t>
      </w:r>
      <w:r w:rsidR="00C61530">
        <w:t>wrongfully (</w:t>
      </w:r>
      <w:r w:rsidR="004D66AB">
        <w:t>miscarriage of justice</w:t>
      </w:r>
      <w:r w:rsidR="00C61530">
        <w:t>)</w:t>
      </w:r>
      <w:r w:rsidR="004D66AB">
        <w:t>.</w:t>
      </w:r>
      <w:r>
        <w:t xml:space="preserve"> </w:t>
      </w:r>
      <w:r w:rsidR="00A30DDF">
        <w:t xml:space="preserve">The signatory States </w:t>
      </w:r>
      <w:r w:rsidR="000425FF">
        <w:t>were supposed to effectuate this by passing adequate legislation. India, however, ha</w:t>
      </w:r>
      <w:r w:rsidR="007C4D80">
        <w:t>s</w:t>
      </w:r>
      <w:r w:rsidR="000425FF">
        <w:t xml:space="preserve"> not done so to date. The Indian public duty doctrine, thus, hovers around the traditional writ jurisdiction mechanism with some ingredients of private and criminal law embedded therein. </w:t>
      </w:r>
    </w:p>
    <w:p w14:paraId="39A2E61F" w14:textId="77777777" w:rsidR="00286BBA" w:rsidRDefault="00286BBA" w:rsidP="00BC3D69">
      <w:pPr>
        <w:spacing w:line="360" w:lineRule="auto"/>
      </w:pPr>
    </w:p>
    <w:p w14:paraId="3A5BEEF4" w14:textId="22FD8AE6" w:rsidR="00E642CF" w:rsidRPr="00437063" w:rsidRDefault="00F212B1" w:rsidP="00BC3D69">
      <w:pPr>
        <w:pStyle w:val="ListParagraph"/>
        <w:numPr>
          <w:ilvl w:val="0"/>
          <w:numId w:val="1"/>
        </w:numPr>
        <w:spacing w:line="360" w:lineRule="auto"/>
        <w:jc w:val="center"/>
        <w:rPr>
          <w:lang w:val="en-US"/>
        </w:rPr>
      </w:pPr>
      <w:r>
        <w:rPr>
          <w:b/>
          <w:bCs/>
          <w:smallCaps/>
          <w:lang w:val="en-US"/>
        </w:rPr>
        <w:t>T</w:t>
      </w:r>
      <w:r w:rsidR="006529E5" w:rsidRPr="00437063">
        <w:rPr>
          <w:b/>
          <w:bCs/>
          <w:smallCaps/>
          <w:lang w:val="en-US"/>
        </w:rPr>
        <w:t xml:space="preserve">he </w:t>
      </w:r>
      <w:r w:rsidR="00A5581C">
        <w:rPr>
          <w:b/>
          <w:bCs/>
          <w:smallCaps/>
          <w:lang w:val="en-US"/>
        </w:rPr>
        <w:t>Existing Law</w:t>
      </w:r>
    </w:p>
    <w:p w14:paraId="458F8D88" w14:textId="2E0C058E" w:rsidR="00E642CF" w:rsidRDefault="00C522D4" w:rsidP="00BC3D69">
      <w:pPr>
        <w:spacing w:line="360" w:lineRule="auto"/>
        <w:rPr>
          <w:lang w:val="en-US"/>
        </w:rPr>
      </w:pPr>
      <w:r>
        <w:rPr>
          <w:lang w:val="en-US"/>
        </w:rPr>
        <w:t>There are three kinds of remedies available against an officer not fulfilling his obligations under the statutory law or the constitution. They are i) Public Law Remedy, ii) Private Law Remedy, and iii) Criminal Law Remedy</w:t>
      </w:r>
      <w:r w:rsidR="009945EC">
        <w:rPr>
          <w:lang w:val="en-US"/>
        </w:rPr>
        <w:t xml:space="preserve">. </w:t>
      </w:r>
      <w:r w:rsidR="00A41E85">
        <w:rPr>
          <w:lang w:val="en-US"/>
        </w:rPr>
        <w:t>Public law remedy is distinct and special</w:t>
      </w:r>
      <w:r w:rsidR="009945EC">
        <w:rPr>
          <w:lang w:val="en-US"/>
        </w:rPr>
        <w:t>;</w:t>
      </w:r>
      <w:r w:rsidR="00A41E85">
        <w:rPr>
          <w:lang w:val="en-US"/>
        </w:rPr>
        <w:t xml:space="preserve"> guaranteed under </w:t>
      </w:r>
      <w:r w:rsidR="00AE42FE">
        <w:rPr>
          <w:lang w:val="en-US"/>
        </w:rPr>
        <w:t xml:space="preserve">the </w:t>
      </w:r>
      <w:r w:rsidR="00A41E85">
        <w:rPr>
          <w:lang w:val="en-US"/>
        </w:rPr>
        <w:t xml:space="preserve">constitution itself. </w:t>
      </w:r>
      <w:r w:rsidR="009945EC">
        <w:rPr>
          <w:lang w:val="en-US"/>
        </w:rPr>
        <w:t>Suing the government does not remain an issue while a</w:t>
      </w:r>
      <w:r w:rsidR="00A41E85">
        <w:rPr>
          <w:lang w:val="en-US"/>
        </w:rPr>
        <w:t xml:space="preserve">rticle 300 </w:t>
      </w:r>
      <w:r w:rsidR="009945EC">
        <w:rPr>
          <w:lang w:val="en-US"/>
        </w:rPr>
        <w:t>mandates the same</w:t>
      </w:r>
      <w:r w:rsidR="00A41E85">
        <w:rPr>
          <w:lang w:val="en-US"/>
        </w:rPr>
        <w:t xml:space="preserve">. Now under articles 32 and 226 of the Indian constitutions, Supreme and High courts are obligated respectively to preserve the guarantees under Part III of the constitution. Thus, if State or State officials encroach upon the fundamental rights, a remedy lies under the domain of public law. </w:t>
      </w:r>
      <w:r w:rsidR="00E22388">
        <w:rPr>
          <w:lang w:val="en-US"/>
        </w:rPr>
        <w:t>As</w:t>
      </w:r>
      <w:r w:rsidR="00A41E85">
        <w:rPr>
          <w:lang w:val="en-US"/>
        </w:rPr>
        <w:t xml:space="preserve"> enforcement of fundamental right is itself a fundamental right,</w:t>
      </w:r>
      <w:r w:rsidR="00E22388">
        <w:rPr>
          <w:rStyle w:val="FootnoteReference"/>
          <w:lang w:val="en-US"/>
        </w:rPr>
        <w:footnoteReference w:id="7"/>
      </w:r>
      <w:r w:rsidR="00A41E85">
        <w:rPr>
          <w:lang w:val="en-US"/>
        </w:rPr>
        <w:t xml:space="preserve"> the public </w:t>
      </w:r>
      <w:r w:rsidR="00E22388">
        <w:rPr>
          <w:lang w:val="en-US"/>
        </w:rPr>
        <w:t>law</w:t>
      </w:r>
      <w:r w:rsidR="00A41E85">
        <w:rPr>
          <w:lang w:val="en-US"/>
        </w:rPr>
        <w:t xml:space="preserve"> remedy s</w:t>
      </w:r>
      <w:r w:rsidR="00E22388">
        <w:rPr>
          <w:lang w:val="en-US"/>
        </w:rPr>
        <w:t>tands</w:t>
      </w:r>
      <w:r w:rsidR="00A41E85">
        <w:rPr>
          <w:lang w:val="en-US"/>
        </w:rPr>
        <w:t xml:space="preserve"> concretized and well-developed.</w:t>
      </w:r>
    </w:p>
    <w:p w14:paraId="548352D6" w14:textId="4D0DAE03" w:rsidR="00A41E85" w:rsidRDefault="00A41E85" w:rsidP="00BC3D69">
      <w:pPr>
        <w:spacing w:line="360" w:lineRule="auto"/>
        <w:rPr>
          <w:lang w:val="en-US"/>
        </w:rPr>
      </w:pPr>
    </w:p>
    <w:p w14:paraId="20D993DD" w14:textId="6DA5E06D" w:rsidR="00A41E85" w:rsidRDefault="00A41E85" w:rsidP="00BC3D69">
      <w:pPr>
        <w:spacing w:line="360" w:lineRule="auto"/>
      </w:pPr>
      <w:r>
        <w:rPr>
          <w:lang w:val="en-US"/>
        </w:rPr>
        <w:t xml:space="preserve">The private law remedy on the other hand is an area of concern. Used as a compensatory measure for the errant acts of the public officials, the remedy is available on </w:t>
      </w:r>
      <w:r w:rsidR="00AE42FE">
        <w:rPr>
          <w:lang w:val="en-US"/>
        </w:rPr>
        <w:t xml:space="preserve">the </w:t>
      </w:r>
      <w:r>
        <w:rPr>
          <w:lang w:val="en-US"/>
        </w:rPr>
        <w:t xml:space="preserve">adjudication of a civil suit. </w:t>
      </w:r>
      <w:r w:rsidR="00D415EC">
        <w:rPr>
          <w:lang w:val="en-US"/>
        </w:rPr>
        <w:t>The private law remedy can be claimed in addition to the public law remedy</w:t>
      </w:r>
      <w:r w:rsidR="00EE7295">
        <w:rPr>
          <w:lang w:val="en-US"/>
        </w:rPr>
        <w:t>.</w:t>
      </w:r>
      <w:r w:rsidR="00D415EC">
        <w:rPr>
          <w:rStyle w:val="FootnoteReference"/>
          <w:lang w:val="en-US"/>
        </w:rPr>
        <w:footnoteReference w:id="8"/>
      </w:r>
      <w:r w:rsidR="00D415EC">
        <w:rPr>
          <w:lang w:val="en-US"/>
        </w:rPr>
        <w:t xml:space="preserve"> </w:t>
      </w:r>
      <w:r w:rsidR="00EE7295">
        <w:rPr>
          <w:lang w:val="en-US"/>
        </w:rPr>
        <w:t>As per leading precedents, t</w:t>
      </w:r>
      <w:r w:rsidR="00D415EC">
        <w:rPr>
          <w:lang w:val="en-US"/>
        </w:rPr>
        <w:t>he tortious acts of public officials which cannot be remedied under public law setu</w:t>
      </w:r>
      <w:r w:rsidR="00EE7295">
        <w:rPr>
          <w:lang w:val="en-US"/>
        </w:rPr>
        <w:t xml:space="preserve">p can </w:t>
      </w:r>
      <w:r w:rsidR="00D415EC">
        <w:rPr>
          <w:lang w:val="en-US"/>
        </w:rPr>
        <w:t>be claimed through private law channel</w:t>
      </w:r>
      <w:r w:rsidR="00AE42FE">
        <w:rPr>
          <w:lang w:val="en-US"/>
        </w:rPr>
        <w:t>s</w:t>
      </w:r>
      <w:r w:rsidR="00D415EC">
        <w:rPr>
          <w:lang w:val="en-US"/>
        </w:rPr>
        <w:t xml:space="preserve">, especially the cases of </w:t>
      </w:r>
      <w:r w:rsidR="00D415EC">
        <w:rPr>
          <w:u w:val="single"/>
          <w:lang w:val="en-US"/>
        </w:rPr>
        <w:t>negligence</w:t>
      </w:r>
      <w:r w:rsidR="00D415EC">
        <w:t>.</w:t>
      </w:r>
      <w:r w:rsidR="00466505">
        <w:rPr>
          <w:rStyle w:val="FootnoteReference"/>
        </w:rPr>
        <w:footnoteReference w:id="9"/>
      </w:r>
      <w:r w:rsidR="00E22388">
        <w:t xml:space="preserve"> </w:t>
      </w:r>
      <w:r w:rsidR="004662C5">
        <w:t>A further distinction between public</w:t>
      </w:r>
      <w:r w:rsidR="00915F45">
        <w:rPr>
          <w:rStyle w:val="FootnoteReference"/>
        </w:rPr>
        <w:footnoteReference w:id="10"/>
      </w:r>
      <w:r w:rsidR="004662C5">
        <w:t xml:space="preserve"> and private law remed</w:t>
      </w:r>
      <w:r w:rsidR="00AE42FE">
        <w:t>ies</w:t>
      </w:r>
      <w:r w:rsidR="004662C5">
        <w:t xml:space="preserve"> is that in the former the sovereign immunity exception cannot be imported at all.</w:t>
      </w:r>
      <w:r w:rsidR="004662C5">
        <w:rPr>
          <w:rStyle w:val="FootnoteReference"/>
        </w:rPr>
        <w:footnoteReference w:id="11"/>
      </w:r>
    </w:p>
    <w:p w14:paraId="0E77DF28" w14:textId="27B8B310" w:rsidR="0097372E" w:rsidRDefault="0097372E" w:rsidP="00BC3D69">
      <w:pPr>
        <w:spacing w:line="360" w:lineRule="auto"/>
      </w:pPr>
    </w:p>
    <w:p w14:paraId="73BA22C2" w14:textId="3F5B7B2F" w:rsidR="0097372E" w:rsidRDefault="0097372E" w:rsidP="00BC3D69">
      <w:pPr>
        <w:spacing w:line="360" w:lineRule="auto"/>
      </w:pPr>
      <w:r>
        <w:t>The Criminal law remedy is a statutory construct flowing mainly from the provisions of IPC</w:t>
      </w:r>
      <w:r>
        <w:rPr>
          <w:rStyle w:val="FootnoteReference"/>
        </w:rPr>
        <w:footnoteReference w:id="12"/>
      </w:r>
      <w:r>
        <w:t xml:space="preserve"> and CrPC.</w:t>
      </w:r>
      <w:r>
        <w:rPr>
          <w:rStyle w:val="FootnoteReference"/>
        </w:rPr>
        <w:footnoteReference w:id="13"/>
      </w:r>
      <w:r>
        <w:t xml:space="preserve"> Under chapters</w:t>
      </w:r>
      <w:r w:rsidR="00AE42FE">
        <w:t>,</w:t>
      </w:r>
      <w:r>
        <w:t xml:space="preserve"> IX and XI of the IPC, offences related to public servants are defined which include offences ranging from false evidencing</w:t>
      </w:r>
      <w:r w:rsidR="00513E1C">
        <w:t>, maintain</w:t>
      </w:r>
      <w:r w:rsidR="00AE42FE">
        <w:t>ing</w:t>
      </w:r>
      <w:r w:rsidR="00513E1C">
        <w:t xml:space="preserve"> incorrect records</w:t>
      </w:r>
      <w:r>
        <w:t xml:space="preserve"> to wilful disobedience of legal duty. Under section 166 of the Penal Code, ‘wilful departure from the direction of th</w:t>
      </w:r>
      <w:r w:rsidR="001D6B3B">
        <w:t>e</w:t>
      </w:r>
      <w:r>
        <w:t xml:space="preserve"> law by a public servant with an intent to cause injury to any person’ </w:t>
      </w:r>
      <w:r w:rsidR="00513E1C">
        <w:t>stands</w:t>
      </w:r>
      <w:r>
        <w:t xml:space="preserve"> criminalised.</w:t>
      </w:r>
      <w:r>
        <w:rPr>
          <w:rStyle w:val="FootnoteReference"/>
        </w:rPr>
        <w:footnoteReference w:id="14"/>
      </w:r>
      <w:r w:rsidR="001D6B3B">
        <w:t xml:space="preserve"> Proving all these offences under the ambit of criminal law warrants proving mental element</w:t>
      </w:r>
      <w:r w:rsidR="00AE42FE">
        <w:t>s</w:t>
      </w:r>
      <w:r w:rsidR="001D6B3B">
        <w:t xml:space="preserve"> (mens rea</w:t>
      </w:r>
      <w:r w:rsidR="00EE7295">
        <w:t>) which is a hard task considering public awareness and initiative and criminal procedure to do the same.</w:t>
      </w:r>
    </w:p>
    <w:p w14:paraId="77076004" w14:textId="70FB808C" w:rsidR="00FE17B4" w:rsidRDefault="00FE17B4" w:rsidP="00BC3D69">
      <w:pPr>
        <w:spacing w:line="360" w:lineRule="auto"/>
        <w:rPr>
          <w:lang w:val="en-US"/>
        </w:rPr>
      </w:pPr>
    </w:p>
    <w:p w14:paraId="10A99D1A" w14:textId="7AC9C9A7" w:rsidR="00E642CF" w:rsidRPr="006529E5" w:rsidRDefault="006529E5" w:rsidP="00BC3D69">
      <w:pPr>
        <w:pStyle w:val="ListParagraph"/>
        <w:numPr>
          <w:ilvl w:val="0"/>
          <w:numId w:val="1"/>
        </w:numPr>
        <w:spacing w:line="360" w:lineRule="auto"/>
        <w:jc w:val="center"/>
        <w:rPr>
          <w:lang w:val="en-US"/>
        </w:rPr>
      </w:pPr>
      <w:r w:rsidRPr="006529E5">
        <w:rPr>
          <w:b/>
          <w:bCs/>
          <w:smallCaps/>
          <w:lang w:val="en-US"/>
        </w:rPr>
        <w:t xml:space="preserve">The Problematic </w:t>
      </w:r>
      <w:r w:rsidR="00F212B1">
        <w:rPr>
          <w:b/>
          <w:bCs/>
          <w:smallCaps/>
          <w:lang w:val="en-US"/>
        </w:rPr>
        <w:t>Elements</w:t>
      </w:r>
    </w:p>
    <w:p w14:paraId="5221A424" w14:textId="3CE51843" w:rsidR="00360FE2" w:rsidRDefault="0001788F" w:rsidP="00BC3D69">
      <w:pPr>
        <w:spacing w:line="360" w:lineRule="auto"/>
      </w:pPr>
      <w:r>
        <w:rPr>
          <w:lang w:val="en-US"/>
        </w:rPr>
        <w:t xml:space="preserve">The problems with </w:t>
      </w:r>
      <w:r w:rsidR="00085E00">
        <w:rPr>
          <w:lang w:val="en-US"/>
        </w:rPr>
        <w:t>the</w:t>
      </w:r>
      <w:r w:rsidR="00AE42FE">
        <w:rPr>
          <w:lang w:val="en-US"/>
        </w:rPr>
        <w:t xml:space="preserve"> </w:t>
      </w:r>
      <w:r>
        <w:rPr>
          <w:lang w:val="en-US"/>
        </w:rPr>
        <w:t xml:space="preserve">existing doctrine are dynamic. What if ‘balance of probabilities’ does not point towards the officer’s wrong? What if </w:t>
      </w:r>
      <w:r w:rsidR="00085E00">
        <w:rPr>
          <w:lang w:val="en-US"/>
        </w:rPr>
        <w:t>an</w:t>
      </w:r>
      <w:r>
        <w:rPr>
          <w:lang w:val="en-US"/>
        </w:rPr>
        <w:t xml:space="preserve"> individual suffers due to a procedural flaw that could have been corrected through due care? What if the civil suit</w:t>
      </w:r>
      <w:r w:rsidR="00A7356A">
        <w:rPr>
          <w:lang w:val="en-US"/>
        </w:rPr>
        <w:t xml:space="preserve">s filed against the official </w:t>
      </w:r>
      <w:r>
        <w:rPr>
          <w:lang w:val="en-US"/>
        </w:rPr>
        <w:t xml:space="preserve">are thrown out of court </w:t>
      </w:r>
      <w:r w:rsidR="00A7356A">
        <w:rPr>
          <w:lang w:val="en-US"/>
        </w:rPr>
        <w:t xml:space="preserve">citing sovereign immunity exception? The last instance has been a common incident in </w:t>
      </w:r>
      <w:r w:rsidR="00AE42FE">
        <w:rPr>
          <w:lang w:val="en-US"/>
        </w:rPr>
        <w:t xml:space="preserve">the </w:t>
      </w:r>
      <w:r w:rsidR="00A7356A">
        <w:rPr>
          <w:lang w:val="en-US"/>
        </w:rPr>
        <w:t xml:space="preserve">Indian judicial system </w:t>
      </w:r>
      <w:r w:rsidR="00085E00">
        <w:rPr>
          <w:lang w:val="en-US"/>
        </w:rPr>
        <w:t xml:space="preserve">as </w:t>
      </w:r>
      <w:r w:rsidR="00A7356A">
        <w:rPr>
          <w:lang w:val="en-US"/>
        </w:rPr>
        <w:t xml:space="preserve">in “plethora </w:t>
      </w:r>
      <w:r w:rsidR="00A7356A">
        <w:t>of civil suits where the function of maintaining law and order was held to be a sovereign function, rendering the State to not be liable for consequences ensuing therefrom”</w:t>
      </w:r>
      <w:r w:rsidR="00A7356A">
        <w:rPr>
          <w:rStyle w:val="FootnoteReference"/>
        </w:rPr>
        <w:footnoteReference w:id="15"/>
      </w:r>
      <w:r w:rsidR="00A7356A">
        <w:t>, restricted to several exceptions.</w:t>
      </w:r>
      <w:r w:rsidR="00A7356A">
        <w:rPr>
          <w:rStyle w:val="FootnoteReference"/>
        </w:rPr>
        <w:footnoteReference w:id="16"/>
      </w:r>
      <w:r w:rsidR="00A7356A">
        <w:t xml:space="preserve"> </w:t>
      </w:r>
    </w:p>
    <w:p w14:paraId="581749C9" w14:textId="77777777" w:rsidR="00360FE2" w:rsidRDefault="00360FE2" w:rsidP="00BC3D69">
      <w:pPr>
        <w:spacing w:line="360" w:lineRule="auto"/>
      </w:pPr>
    </w:p>
    <w:p w14:paraId="4AD974FB" w14:textId="166BEBE4" w:rsidR="00E642CF" w:rsidRDefault="00A7356A" w:rsidP="00BC3D69">
      <w:pPr>
        <w:spacing w:line="360" w:lineRule="auto"/>
      </w:pPr>
      <w:r>
        <w:t>Dismissing civil suits not only discourages expounding of remedy against government officials,</w:t>
      </w:r>
      <w:r w:rsidR="00AE42FE">
        <w:t xml:space="preserve"> but</w:t>
      </w:r>
      <w:r>
        <w:t xml:space="preserve"> it also reinforces the belief of the citizenry that such remedy does not exist at all i.e., public servants are inherently immune, especially from cases of negligence and inaction.</w:t>
      </w:r>
      <w:r>
        <w:rPr>
          <w:rStyle w:val="FootnoteReference"/>
        </w:rPr>
        <w:footnoteReference w:id="17"/>
      </w:r>
      <w:r>
        <w:t xml:space="preserve"> </w:t>
      </w:r>
      <w:r w:rsidR="00FB716D">
        <w:t xml:space="preserve">Even when the courts have ordered compensation for some interesting cases of negligence and inaction which resulted in </w:t>
      </w:r>
      <w:r w:rsidR="00AE42FE">
        <w:t xml:space="preserve">the </w:t>
      </w:r>
      <w:r w:rsidR="00360FE2">
        <w:t>violation</w:t>
      </w:r>
      <w:r w:rsidR="00FB716D">
        <w:t xml:space="preserve"> of claimants’ legal right</w:t>
      </w:r>
      <w:r w:rsidR="00AE42FE">
        <w:t>s</w:t>
      </w:r>
      <w:r w:rsidR="00FB716D">
        <w:t xml:space="preserve">, such cases are very </w:t>
      </w:r>
      <w:r w:rsidR="00D61067">
        <w:t>limited</w:t>
      </w:r>
      <w:r w:rsidR="00FB716D">
        <w:t xml:space="preserve"> and </w:t>
      </w:r>
      <w:r w:rsidR="00D61067">
        <w:t xml:space="preserve">they </w:t>
      </w:r>
      <w:r w:rsidR="00FB716D">
        <w:t xml:space="preserve">serve the only purpose of teaching the newly admitted law students the scope of jurisdiction of </w:t>
      </w:r>
      <w:r w:rsidR="00AE42FE">
        <w:t xml:space="preserve">the </w:t>
      </w:r>
      <w:r w:rsidR="00B552C1">
        <w:t>constitutional courts</w:t>
      </w:r>
      <w:r w:rsidR="00FB716D">
        <w:t>.</w:t>
      </w:r>
      <w:r w:rsidR="00FB716D">
        <w:rPr>
          <w:rStyle w:val="FootnoteReference"/>
        </w:rPr>
        <w:footnoteReference w:id="18"/>
      </w:r>
      <w:r w:rsidR="00FB716D">
        <w:t xml:space="preserve"> </w:t>
      </w:r>
    </w:p>
    <w:p w14:paraId="272D0287" w14:textId="77777777" w:rsidR="00286BBA" w:rsidRDefault="00286BBA" w:rsidP="00BC3D69">
      <w:pPr>
        <w:spacing w:line="360" w:lineRule="auto"/>
      </w:pPr>
    </w:p>
    <w:p w14:paraId="240A509D" w14:textId="4A82ADF6" w:rsidR="00A7356A" w:rsidRDefault="00D61067" w:rsidP="00BC3D69">
      <w:pPr>
        <w:spacing w:line="360" w:lineRule="auto"/>
      </w:pPr>
      <w:r>
        <w:t>The problem with criminal remed</w:t>
      </w:r>
      <w:r w:rsidR="00AE42FE">
        <w:t>ies</w:t>
      </w:r>
      <w:r>
        <w:t xml:space="preserve"> is obvious. The mental element is not only difficult to prove but it might not even exist in cases of wrongful convictions where there </w:t>
      </w:r>
      <w:r w:rsidR="00B552C1">
        <w:t xml:space="preserve">lies </w:t>
      </w:r>
      <w:r>
        <w:t xml:space="preserve">a possibility of tainted investigation or prosecutorial misconduct. This might be offender-less harm on lines of the notions of victimless crimes. Further, additional procedural safeguards envisaged under </w:t>
      </w:r>
      <w:r w:rsidR="0004657B">
        <w:t xml:space="preserve">criminal laws (like section 197, CrPC) </w:t>
      </w:r>
      <w:r w:rsidR="00B552C1">
        <w:t>that</w:t>
      </w:r>
      <w:r w:rsidR="0004657B">
        <w:t xml:space="preserve"> lay down the requirement of government sanction come into </w:t>
      </w:r>
      <w:r w:rsidR="00AE42FE">
        <w:t xml:space="preserve">the </w:t>
      </w:r>
      <w:r w:rsidR="0004657B">
        <w:t xml:space="preserve">picture and discourage the victims to proceed with new suits and litigations while they have already </w:t>
      </w:r>
      <w:r w:rsidR="00B552C1">
        <w:t xml:space="preserve">wasted </w:t>
      </w:r>
      <w:r w:rsidR="0004657B">
        <w:t xml:space="preserve">many years </w:t>
      </w:r>
      <w:r w:rsidR="00B552C1">
        <w:t xml:space="preserve">handling frivolous suits and delayed benefits. </w:t>
      </w:r>
    </w:p>
    <w:p w14:paraId="1B5211D7" w14:textId="21987DB1" w:rsidR="0004657B" w:rsidRDefault="0004657B" w:rsidP="00BC3D69">
      <w:pPr>
        <w:spacing w:line="360" w:lineRule="auto"/>
      </w:pPr>
    </w:p>
    <w:p w14:paraId="721AA373" w14:textId="4FAF180C" w:rsidR="0004657B" w:rsidRDefault="008E6968" w:rsidP="00BC3D69">
      <w:pPr>
        <w:spacing w:line="360" w:lineRule="auto"/>
      </w:pPr>
      <w:r>
        <w:t xml:space="preserve">The whole scheme makes it evident that while </w:t>
      </w:r>
      <w:r w:rsidR="00AE42FE">
        <w:t xml:space="preserve">judicial precedents </w:t>
      </w:r>
      <w:r w:rsidR="00B552C1">
        <w:t>enable the</w:t>
      </w:r>
      <w:r>
        <w:t xml:space="preserve"> victim</w:t>
      </w:r>
      <w:r w:rsidR="00B552C1">
        <w:t>s</w:t>
      </w:r>
      <w:r>
        <w:t xml:space="preserve"> to approach constitutional courts under writ jurisdiction, there </w:t>
      </w:r>
      <w:r w:rsidR="00B552C1">
        <w:t>exists</w:t>
      </w:r>
      <w:r>
        <w:t xml:space="preserve"> no statutory right entitling the victims of such compensation.</w:t>
      </w:r>
      <w:r>
        <w:rPr>
          <w:rStyle w:val="FootnoteReference"/>
        </w:rPr>
        <w:footnoteReference w:id="19"/>
      </w:r>
      <w:r>
        <w:t xml:space="preserve"> </w:t>
      </w:r>
      <w:r w:rsidR="00B552C1">
        <w:t>T</w:t>
      </w:r>
      <w:r w:rsidR="0004657B">
        <w:t>hese problems are big</w:t>
      </w:r>
      <w:r w:rsidR="00B552C1">
        <w:t xml:space="preserve"> and require</w:t>
      </w:r>
      <w:r w:rsidR="0004657B">
        <w:t xml:space="preserve"> </w:t>
      </w:r>
      <w:r w:rsidR="00B552C1">
        <w:t xml:space="preserve">assertive </w:t>
      </w:r>
      <w:r w:rsidR="0004657B">
        <w:t>legislative in</w:t>
      </w:r>
      <w:r w:rsidR="00B552C1">
        <w:t>tervention.</w:t>
      </w:r>
      <w:r w:rsidR="0004657B">
        <w:t xml:space="preserve"> </w:t>
      </w:r>
    </w:p>
    <w:p w14:paraId="71D1CC77" w14:textId="56B44271" w:rsidR="00A7356A" w:rsidRDefault="00A7356A" w:rsidP="00BC3D69">
      <w:pPr>
        <w:spacing w:line="360" w:lineRule="auto"/>
        <w:rPr>
          <w:lang w:val="en-US"/>
        </w:rPr>
      </w:pPr>
    </w:p>
    <w:p w14:paraId="2CD80483" w14:textId="66F3D0A6" w:rsidR="00E642CF" w:rsidRPr="006529E5" w:rsidRDefault="006529E5" w:rsidP="00BC3D69">
      <w:pPr>
        <w:pStyle w:val="ListParagraph"/>
        <w:numPr>
          <w:ilvl w:val="0"/>
          <w:numId w:val="1"/>
        </w:numPr>
        <w:spacing w:line="360" w:lineRule="auto"/>
        <w:jc w:val="center"/>
        <w:rPr>
          <w:lang w:val="en-US"/>
        </w:rPr>
      </w:pPr>
      <w:r w:rsidRPr="006529E5">
        <w:rPr>
          <w:b/>
          <w:bCs/>
          <w:smallCaps/>
          <w:lang w:val="en-US"/>
        </w:rPr>
        <w:t xml:space="preserve">Redressal </w:t>
      </w:r>
      <w:r w:rsidR="00F212B1">
        <w:rPr>
          <w:b/>
          <w:bCs/>
          <w:smallCaps/>
          <w:lang w:val="en-US"/>
        </w:rPr>
        <w:t>a</w:t>
      </w:r>
      <w:r w:rsidRPr="006529E5">
        <w:rPr>
          <w:b/>
          <w:bCs/>
          <w:smallCaps/>
          <w:lang w:val="en-US"/>
        </w:rPr>
        <w:t>nd Reformulation</w:t>
      </w:r>
    </w:p>
    <w:p w14:paraId="4B98FA8D" w14:textId="5989F060" w:rsidR="00E642CF" w:rsidRDefault="00BD46D2" w:rsidP="00BC3D69">
      <w:pPr>
        <w:spacing w:line="360" w:lineRule="auto"/>
        <w:rPr>
          <w:lang w:val="en-US"/>
        </w:rPr>
      </w:pPr>
      <w:r>
        <w:rPr>
          <w:lang w:val="en-US"/>
        </w:rPr>
        <w:t xml:space="preserve">For redressal of public duty liability, three questions need to be addressed. They are </w:t>
      </w:r>
      <w:r w:rsidR="003F12F4">
        <w:rPr>
          <w:lang w:val="en-US"/>
        </w:rPr>
        <w:t>proximity, recovery of economic loss, and exemplary damages.</w:t>
      </w:r>
      <w:r w:rsidR="003F12F4">
        <w:rPr>
          <w:rStyle w:val="FootnoteReference"/>
          <w:lang w:val="en-US"/>
        </w:rPr>
        <w:footnoteReference w:id="20"/>
      </w:r>
      <w:r w:rsidR="00A0456A">
        <w:rPr>
          <w:lang w:val="en-US"/>
        </w:rPr>
        <w:t xml:space="preserve"> The victims would be required to prove how the act or omission of the offic</w:t>
      </w:r>
      <w:r w:rsidR="00AE42FE">
        <w:rPr>
          <w:lang w:val="en-US"/>
        </w:rPr>
        <w:t>e</w:t>
      </w:r>
      <w:r w:rsidR="00A0456A">
        <w:rPr>
          <w:lang w:val="en-US"/>
        </w:rPr>
        <w:t xml:space="preserve"> resulted in harm i.e., the proximity of </w:t>
      </w:r>
      <w:r w:rsidR="00AE42FE">
        <w:rPr>
          <w:lang w:val="en-US"/>
        </w:rPr>
        <w:t xml:space="preserve">the </w:t>
      </w:r>
      <w:r w:rsidR="00A0456A">
        <w:rPr>
          <w:lang w:val="en-US"/>
        </w:rPr>
        <w:t>act with the harm done. Then come</w:t>
      </w:r>
      <w:r w:rsidR="00B552C1">
        <w:rPr>
          <w:lang w:val="en-US"/>
        </w:rPr>
        <w:t>s</w:t>
      </w:r>
      <w:r w:rsidR="00A0456A">
        <w:rPr>
          <w:lang w:val="en-US"/>
        </w:rPr>
        <w:t xml:space="preserve"> </w:t>
      </w:r>
      <w:r w:rsidR="007C4D80">
        <w:rPr>
          <w:lang w:val="en-US"/>
        </w:rPr>
        <w:t xml:space="preserve">the </w:t>
      </w:r>
      <w:r w:rsidR="00A0456A">
        <w:rPr>
          <w:lang w:val="en-US"/>
        </w:rPr>
        <w:t xml:space="preserve">interlinked issue of recovery and damages. Indian jurisprudence has witnessed how victims have lost their possessions in police custody to never recover them with </w:t>
      </w:r>
      <w:r w:rsidR="00B552C1">
        <w:rPr>
          <w:lang w:val="en-US"/>
        </w:rPr>
        <w:t xml:space="preserve">the </w:t>
      </w:r>
      <w:r w:rsidR="00A0456A">
        <w:rPr>
          <w:lang w:val="en-US"/>
        </w:rPr>
        <w:t xml:space="preserve">court agreeing to </w:t>
      </w:r>
      <w:r w:rsidR="007C4D80">
        <w:rPr>
          <w:lang w:val="en-US"/>
        </w:rPr>
        <w:t xml:space="preserve">the </w:t>
      </w:r>
      <w:r w:rsidR="00A0456A">
        <w:rPr>
          <w:lang w:val="en-US"/>
        </w:rPr>
        <w:t>government’</w:t>
      </w:r>
      <w:r w:rsidR="00B552C1">
        <w:rPr>
          <w:lang w:val="en-US"/>
        </w:rPr>
        <w:t>s</w:t>
      </w:r>
      <w:r w:rsidR="00A0456A">
        <w:rPr>
          <w:lang w:val="en-US"/>
        </w:rPr>
        <w:t xml:space="preserve"> submission on sovereign immunity from acts done by their servants.</w:t>
      </w:r>
      <w:r w:rsidR="00A0456A">
        <w:rPr>
          <w:rStyle w:val="FootnoteReference"/>
          <w:lang w:val="en-US"/>
        </w:rPr>
        <w:footnoteReference w:id="21"/>
      </w:r>
      <w:r w:rsidR="00A0456A">
        <w:rPr>
          <w:lang w:val="en-US"/>
        </w:rPr>
        <w:t xml:space="preserve"> </w:t>
      </w:r>
      <w:r w:rsidR="00B552C1">
        <w:rPr>
          <w:lang w:val="en-US"/>
        </w:rPr>
        <w:t>E</w:t>
      </w:r>
      <w:r w:rsidR="00A0456A">
        <w:rPr>
          <w:lang w:val="en-US"/>
        </w:rPr>
        <w:t xml:space="preserve">xemplary damages </w:t>
      </w:r>
      <w:r w:rsidR="00B552C1">
        <w:rPr>
          <w:lang w:val="en-US"/>
        </w:rPr>
        <w:t>would help in</w:t>
      </w:r>
      <w:r w:rsidR="00A0456A">
        <w:rPr>
          <w:lang w:val="en-US"/>
        </w:rPr>
        <w:t xml:space="preserve"> discourag</w:t>
      </w:r>
      <w:r w:rsidR="00B552C1">
        <w:rPr>
          <w:lang w:val="en-US"/>
        </w:rPr>
        <w:t>ing</w:t>
      </w:r>
      <w:r w:rsidR="00A0456A">
        <w:rPr>
          <w:lang w:val="en-US"/>
        </w:rPr>
        <w:t xml:space="preserve"> the laxity observed on part of public officials while discharging their duty. </w:t>
      </w:r>
    </w:p>
    <w:p w14:paraId="0A8B194F" w14:textId="1556A074" w:rsidR="00A0456A" w:rsidRDefault="00A0456A" w:rsidP="00BC3D69">
      <w:pPr>
        <w:spacing w:line="360" w:lineRule="auto"/>
        <w:rPr>
          <w:lang w:val="en-US"/>
        </w:rPr>
      </w:pPr>
    </w:p>
    <w:p w14:paraId="375630D2" w14:textId="32305D21" w:rsidR="00A0456A" w:rsidRDefault="00B552C1" w:rsidP="00BC3D69">
      <w:pPr>
        <w:spacing w:line="360" w:lineRule="auto"/>
        <w:rPr>
          <w:lang w:val="en-US"/>
        </w:rPr>
      </w:pPr>
      <w:r>
        <w:rPr>
          <w:lang w:val="en-US"/>
        </w:rPr>
        <w:t>To solve all of this, t</w:t>
      </w:r>
      <w:r w:rsidR="00A0456A">
        <w:rPr>
          <w:lang w:val="en-US"/>
        </w:rPr>
        <w:t>he German constitution leads the procession by making the officials liab</w:t>
      </w:r>
      <w:r w:rsidR="00AE42FE">
        <w:rPr>
          <w:lang w:val="en-US"/>
        </w:rPr>
        <w:t>le</w:t>
      </w:r>
      <w:r w:rsidR="00A0456A">
        <w:rPr>
          <w:lang w:val="en-US"/>
        </w:rPr>
        <w:t xml:space="preserve"> for </w:t>
      </w:r>
      <w:r w:rsidR="00AE42FE">
        <w:rPr>
          <w:lang w:val="en-US"/>
        </w:rPr>
        <w:t xml:space="preserve">the </w:t>
      </w:r>
      <w:r w:rsidR="00A0456A">
        <w:rPr>
          <w:lang w:val="en-US"/>
        </w:rPr>
        <w:t>violation of their official duty</w:t>
      </w:r>
      <w:r>
        <w:rPr>
          <w:lang w:val="en-US"/>
        </w:rPr>
        <w:t xml:space="preserve"> and can be imitated</w:t>
      </w:r>
      <w:r w:rsidR="00A0456A">
        <w:rPr>
          <w:lang w:val="en-US"/>
        </w:rPr>
        <w:t xml:space="preserve">. The question is: is </w:t>
      </w:r>
      <w:r w:rsidR="00AE42FE">
        <w:rPr>
          <w:lang w:val="en-US"/>
        </w:rPr>
        <w:t xml:space="preserve">the </w:t>
      </w:r>
      <w:r w:rsidR="00A0456A">
        <w:rPr>
          <w:lang w:val="en-US"/>
        </w:rPr>
        <w:t xml:space="preserve">constitutional route </w:t>
      </w:r>
      <w:r w:rsidR="00003398">
        <w:rPr>
          <w:lang w:val="en-US"/>
        </w:rPr>
        <w:t xml:space="preserve">practical and </w:t>
      </w:r>
      <w:r w:rsidR="00335B4F">
        <w:rPr>
          <w:lang w:val="en-US"/>
        </w:rPr>
        <w:t xml:space="preserve">the </w:t>
      </w:r>
      <w:r w:rsidR="00003398">
        <w:rPr>
          <w:lang w:val="en-US"/>
        </w:rPr>
        <w:t xml:space="preserve">only </w:t>
      </w:r>
      <w:r w:rsidR="00335B4F">
        <w:rPr>
          <w:lang w:val="en-US"/>
        </w:rPr>
        <w:t xml:space="preserve">available </w:t>
      </w:r>
      <w:r w:rsidR="00003398">
        <w:rPr>
          <w:lang w:val="en-US"/>
        </w:rPr>
        <w:t>recourse?</w:t>
      </w:r>
      <w:r w:rsidR="00A0456A">
        <w:rPr>
          <w:lang w:val="en-US"/>
        </w:rPr>
        <w:t xml:space="preserve"> </w:t>
      </w:r>
      <w:r w:rsidR="00335B4F">
        <w:rPr>
          <w:lang w:val="en-US"/>
        </w:rPr>
        <w:t>Certainly not</w:t>
      </w:r>
      <w:r w:rsidR="00003398">
        <w:rPr>
          <w:lang w:val="en-US"/>
        </w:rPr>
        <w:t xml:space="preserve">. The constitution under article 300 makes it clear that </w:t>
      </w:r>
      <w:r w:rsidR="00AE42FE">
        <w:rPr>
          <w:lang w:val="en-US"/>
        </w:rPr>
        <w:t xml:space="preserve">the </w:t>
      </w:r>
      <w:r w:rsidR="00003398">
        <w:rPr>
          <w:lang w:val="en-US"/>
        </w:rPr>
        <w:t>government can be sued under any law in force. The requirement can thus be met through reformulations and amendments. LCI’s 2</w:t>
      </w:r>
      <w:r w:rsidR="003B4721">
        <w:rPr>
          <w:lang w:val="en-US"/>
        </w:rPr>
        <w:t>77</w:t>
      </w:r>
      <w:r w:rsidR="007C4D80">
        <w:rPr>
          <w:vertAlign w:val="superscript"/>
          <w:lang w:val="en-US"/>
        </w:rPr>
        <w:t>th</w:t>
      </w:r>
      <w:r w:rsidR="00003398">
        <w:rPr>
          <w:lang w:val="en-US"/>
        </w:rPr>
        <w:t xml:space="preserve"> report recommends tha</w:t>
      </w:r>
      <w:r w:rsidR="00AE42FE">
        <w:rPr>
          <w:lang w:val="en-US"/>
        </w:rPr>
        <w:t>t</w:t>
      </w:r>
      <w:r w:rsidR="00003398">
        <w:rPr>
          <w:lang w:val="en-US"/>
        </w:rPr>
        <w:t xml:space="preserve"> rather than adopting ‘wrongful conviction’ and ‘wrongful incarceration’ as the standard for </w:t>
      </w:r>
      <w:r w:rsidR="00003398">
        <w:rPr>
          <w:lang w:val="en-US"/>
        </w:rPr>
        <w:lastRenderedPageBreak/>
        <w:t>miscarriage of justice, the legislature should adopt the standard of ‘wrongful prosecution’.</w:t>
      </w:r>
      <w:r w:rsidR="00003398">
        <w:rPr>
          <w:rStyle w:val="FootnoteReference"/>
          <w:lang w:val="en-US"/>
        </w:rPr>
        <w:footnoteReference w:id="22"/>
      </w:r>
      <w:r w:rsidR="00003398">
        <w:rPr>
          <w:lang w:val="en-US"/>
        </w:rPr>
        <w:t xml:space="preserve"> The author supports this recommendation in light of </w:t>
      </w:r>
      <w:r w:rsidR="00AE42FE">
        <w:rPr>
          <w:lang w:val="en-US"/>
        </w:rPr>
        <w:t xml:space="preserve">the </w:t>
      </w:r>
      <w:r w:rsidR="00003398">
        <w:rPr>
          <w:lang w:val="en-US"/>
        </w:rPr>
        <w:t>detailed reasoning provided by LCI.</w:t>
      </w:r>
      <w:r w:rsidR="00003398">
        <w:rPr>
          <w:rStyle w:val="FootnoteReference"/>
          <w:lang w:val="en-US"/>
        </w:rPr>
        <w:footnoteReference w:id="23"/>
      </w:r>
      <w:r w:rsidR="00003398">
        <w:rPr>
          <w:lang w:val="en-US"/>
        </w:rPr>
        <w:t xml:space="preserve"> </w:t>
      </w:r>
      <w:r w:rsidR="00335B4F">
        <w:rPr>
          <w:lang w:val="en-US"/>
        </w:rPr>
        <w:t>As</w:t>
      </w:r>
      <w:r w:rsidR="00003398">
        <w:rPr>
          <w:lang w:val="en-US"/>
        </w:rPr>
        <w:t xml:space="preserve"> the right to recover </w:t>
      </w:r>
      <w:r w:rsidR="008E6968">
        <w:rPr>
          <w:lang w:val="en-US"/>
        </w:rPr>
        <w:t>appropriate damages from the State has been recognized by the Apex court in multiple cases,</w:t>
      </w:r>
      <w:r w:rsidR="008E6968">
        <w:rPr>
          <w:rStyle w:val="FootnoteReference"/>
          <w:lang w:val="en-US"/>
        </w:rPr>
        <w:footnoteReference w:id="24"/>
      </w:r>
      <w:r w:rsidR="008E6968">
        <w:rPr>
          <w:lang w:val="en-US"/>
        </w:rPr>
        <w:t xml:space="preserve"> the initial reservations to </w:t>
      </w:r>
      <w:r w:rsidR="00AE42FE">
        <w:rPr>
          <w:lang w:val="en-US"/>
        </w:rPr>
        <w:t xml:space="preserve">the </w:t>
      </w:r>
      <w:r w:rsidR="008E6968">
        <w:rPr>
          <w:lang w:val="en-US"/>
        </w:rPr>
        <w:t xml:space="preserve">adoption of ICCPR’s mandate of such suits by India do not hold good now. </w:t>
      </w:r>
    </w:p>
    <w:p w14:paraId="1CFEC9F5" w14:textId="77972B7E" w:rsidR="008E6968" w:rsidRDefault="008E6968" w:rsidP="00BC3D69">
      <w:pPr>
        <w:spacing w:line="360" w:lineRule="auto"/>
        <w:rPr>
          <w:lang w:val="en-US"/>
        </w:rPr>
      </w:pPr>
    </w:p>
    <w:p w14:paraId="7D6C7283" w14:textId="31D3FB93" w:rsidR="008E6968" w:rsidRDefault="00335B4F" w:rsidP="00BC3D69">
      <w:pPr>
        <w:spacing w:line="360" w:lineRule="auto"/>
        <w:rPr>
          <w:lang w:val="en-US"/>
        </w:rPr>
      </w:pPr>
      <w:r>
        <w:rPr>
          <w:lang w:val="en-US"/>
        </w:rPr>
        <w:t>B</w:t>
      </w:r>
      <w:r w:rsidR="008E6968">
        <w:rPr>
          <w:lang w:val="en-US"/>
        </w:rPr>
        <w:t xml:space="preserve">oth substantive and procedural aspects underlying proximity, recovery, and compensation need to be formulated through enacting a statute. Setting up special courts adjudicating claims </w:t>
      </w:r>
      <w:r w:rsidR="002B42A7">
        <w:rPr>
          <w:lang w:val="en-US"/>
        </w:rPr>
        <w:t>through summary hearing</w:t>
      </w:r>
      <w:r w:rsidR="00AE42FE">
        <w:rPr>
          <w:lang w:val="en-US"/>
        </w:rPr>
        <w:t>s</w:t>
      </w:r>
      <w:r w:rsidR="002B42A7">
        <w:rPr>
          <w:lang w:val="en-US"/>
        </w:rPr>
        <w:t xml:space="preserve"> can be very effective.</w:t>
      </w:r>
      <w:r w:rsidR="002B42A7">
        <w:rPr>
          <w:rStyle w:val="FootnoteReference"/>
          <w:lang w:val="en-US"/>
        </w:rPr>
        <w:footnoteReference w:id="25"/>
      </w:r>
      <w:r w:rsidR="002B42A7">
        <w:rPr>
          <w:lang w:val="en-US"/>
        </w:rPr>
        <w:t xml:space="preserve"> In addition </w:t>
      </w:r>
      <w:r w:rsidR="007C4D80">
        <w:rPr>
          <w:lang w:val="en-US"/>
        </w:rPr>
        <w:t xml:space="preserve">to </w:t>
      </w:r>
      <w:r>
        <w:rPr>
          <w:lang w:val="en-US"/>
        </w:rPr>
        <w:t>not contributing to the</w:t>
      </w:r>
      <w:r w:rsidR="00AE42FE">
        <w:rPr>
          <w:lang w:val="en-US"/>
        </w:rPr>
        <w:t xml:space="preserve"> </w:t>
      </w:r>
      <w:r w:rsidR="002B42A7">
        <w:rPr>
          <w:lang w:val="en-US"/>
        </w:rPr>
        <w:t xml:space="preserve">large backlog of cases in </w:t>
      </w:r>
      <w:r w:rsidR="00AE42FE">
        <w:rPr>
          <w:lang w:val="en-US"/>
        </w:rPr>
        <w:t xml:space="preserve">the </w:t>
      </w:r>
      <w:r w:rsidR="002B42A7">
        <w:rPr>
          <w:lang w:val="en-US"/>
        </w:rPr>
        <w:t xml:space="preserve">Indian judiciary, special jurisdictions </w:t>
      </w:r>
      <w:r>
        <w:rPr>
          <w:lang w:val="en-US"/>
        </w:rPr>
        <w:t xml:space="preserve">will prove helpful </w:t>
      </w:r>
      <w:r w:rsidR="002B42A7">
        <w:rPr>
          <w:lang w:val="en-US"/>
        </w:rPr>
        <w:t xml:space="preserve">also </w:t>
      </w:r>
      <w:r>
        <w:rPr>
          <w:lang w:val="en-US"/>
        </w:rPr>
        <w:t xml:space="preserve">save time and resources </w:t>
      </w:r>
      <w:r w:rsidR="007C4D80">
        <w:rPr>
          <w:lang w:val="en-US"/>
        </w:rPr>
        <w:t>for</w:t>
      </w:r>
      <w:r>
        <w:rPr>
          <w:lang w:val="en-US"/>
        </w:rPr>
        <w:t xml:space="preserve"> the</w:t>
      </w:r>
      <w:r w:rsidR="002B42A7">
        <w:rPr>
          <w:lang w:val="en-US"/>
        </w:rPr>
        <w:t xml:space="preserve"> claimant </w:t>
      </w:r>
      <w:r>
        <w:rPr>
          <w:lang w:val="en-US"/>
        </w:rPr>
        <w:t xml:space="preserve">who </w:t>
      </w:r>
      <w:r w:rsidR="002B42A7">
        <w:rPr>
          <w:lang w:val="en-US"/>
        </w:rPr>
        <w:t xml:space="preserve">must have already wasted </w:t>
      </w:r>
      <w:r>
        <w:rPr>
          <w:lang w:val="en-US"/>
        </w:rPr>
        <w:t xml:space="preserve">both of them during </w:t>
      </w:r>
      <w:r w:rsidR="007C4D80">
        <w:rPr>
          <w:lang w:val="en-US"/>
        </w:rPr>
        <w:t xml:space="preserve">the </w:t>
      </w:r>
      <w:r>
        <w:rPr>
          <w:lang w:val="en-US"/>
        </w:rPr>
        <w:t>recent past.</w:t>
      </w:r>
      <w:r w:rsidR="002B42A7">
        <w:rPr>
          <w:lang w:val="en-US"/>
        </w:rPr>
        <w:t xml:space="preserve"> The question of compensation </w:t>
      </w:r>
      <w:r>
        <w:rPr>
          <w:lang w:val="en-US"/>
        </w:rPr>
        <w:t>could</w:t>
      </w:r>
      <w:r w:rsidR="002B42A7">
        <w:rPr>
          <w:lang w:val="en-US"/>
        </w:rPr>
        <w:t xml:space="preserve"> be adjusted with inflation and </w:t>
      </w:r>
      <w:r w:rsidR="00AE42FE">
        <w:rPr>
          <w:lang w:val="en-US"/>
        </w:rPr>
        <w:t xml:space="preserve">the </w:t>
      </w:r>
      <w:r w:rsidR="002B42A7">
        <w:rPr>
          <w:lang w:val="en-US"/>
        </w:rPr>
        <w:t>facts of the case</w:t>
      </w:r>
      <w:r>
        <w:rPr>
          <w:lang w:val="en-US"/>
        </w:rPr>
        <w:t>, the new framework must provide</w:t>
      </w:r>
      <w:r w:rsidR="002B42A7">
        <w:rPr>
          <w:lang w:val="en-US"/>
        </w:rPr>
        <w:t xml:space="preserve">. In addition to pecuniary damages, rehabilitation and mental health services as options to social welfare ought to be explored. All of these can be easily done through </w:t>
      </w:r>
      <w:r w:rsidR="00AE42FE">
        <w:rPr>
          <w:lang w:val="en-US"/>
        </w:rPr>
        <w:t xml:space="preserve">the </w:t>
      </w:r>
      <w:r w:rsidR="002B42A7">
        <w:rPr>
          <w:lang w:val="en-US"/>
        </w:rPr>
        <w:t xml:space="preserve">insertion of a new chapter under </w:t>
      </w:r>
      <w:r w:rsidR="00955314">
        <w:rPr>
          <w:lang w:val="en-US"/>
        </w:rPr>
        <w:t xml:space="preserve">the penal code. </w:t>
      </w:r>
      <w:r w:rsidR="002B42A7">
        <w:rPr>
          <w:lang w:val="en-US"/>
        </w:rPr>
        <w:t xml:space="preserve"> </w:t>
      </w:r>
    </w:p>
    <w:p w14:paraId="3E45D17C" w14:textId="77777777" w:rsidR="00286BBA" w:rsidRDefault="00286BBA" w:rsidP="00BC3D69">
      <w:pPr>
        <w:spacing w:line="360" w:lineRule="auto"/>
        <w:rPr>
          <w:lang w:val="en-US"/>
        </w:rPr>
      </w:pPr>
    </w:p>
    <w:p w14:paraId="03AEE3C6" w14:textId="4C97FADF" w:rsidR="00E642CF" w:rsidRDefault="00091339" w:rsidP="00BC3D69">
      <w:pPr>
        <w:pStyle w:val="ListParagraph"/>
        <w:numPr>
          <w:ilvl w:val="0"/>
          <w:numId w:val="1"/>
        </w:numPr>
        <w:spacing w:line="360" w:lineRule="auto"/>
        <w:jc w:val="center"/>
        <w:rPr>
          <w:lang w:val="en-US"/>
        </w:rPr>
      </w:pPr>
      <w:r>
        <w:rPr>
          <w:b/>
          <w:bCs/>
          <w:smallCaps/>
          <w:lang w:val="en-US"/>
        </w:rPr>
        <w:t>Concluding Thoughts</w:t>
      </w:r>
    </w:p>
    <w:p w14:paraId="02A6D5F0" w14:textId="6A38B318" w:rsidR="00AE42FE" w:rsidRPr="00AE42FE" w:rsidRDefault="00A313BE" w:rsidP="00BC3D69">
      <w:pPr>
        <w:spacing w:line="360" w:lineRule="auto"/>
        <w:rPr>
          <w:lang w:val="en-US"/>
        </w:rPr>
      </w:pPr>
      <w:r>
        <w:rPr>
          <w:lang w:val="en-US"/>
        </w:rPr>
        <w:t xml:space="preserve">A robust public duty doctrine can be </w:t>
      </w:r>
      <w:r w:rsidR="007C4D80">
        <w:rPr>
          <w:lang w:val="en-US"/>
        </w:rPr>
        <w:t xml:space="preserve">a </w:t>
      </w:r>
      <w:r>
        <w:rPr>
          <w:lang w:val="en-US"/>
        </w:rPr>
        <w:t xml:space="preserve">harbinger of socio-legal change. For doing so, legislative and judicial intervention </w:t>
      </w:r>
      <w:r w:rsidR="007C4D80">
        <w:rPr>
          <w:lang w:val="en-US"/>
        </w:rPr>
        <w:t>is</w:t>
      </w:r>
      <w:r>
        <w:rPr>
          <w:lang w:val="en-US"/>
        </w:rPr>
        <w:t xml:space="preserve"> imperative. This essay navigated through the theoretical and practical contours of the doctrine</w:t>
      </w:r>
      <w:r w:rsidR="00091339">
        <w:rPr>
          <w:lang w:val="en-US"/>
        </w:rPr>
        <w:t xml:space="preserve">. The problems of the existing regime; be it proximity, recovery, or compensation can be all handled well if there is </w:t>
      </w:r>
      <w:r w:rsidR="007C4D80">
        <w:rPr>
          <w:lang w:val="en-US"/>
        </w:rPr>
        <w:t xml:space="preserve">an </w:t>
      </w:r>
      <w:r w:rsidR="00091339">
        <w:rPr>
          <w:lang w:val="en-US"/>
        </w:rPr>
        <w:t xml:space="preserve">awareness that public intervention against public officials can effectuate into something meaningful and substantial that can in an exemplary </w:t>
      </w:r>
      <w:r w:rsidR="00335B4F">
        <w:rPr>
          <w:lang w:val="en-US"/>
        </w:rPr>
        <w:t xml:space="preserve">manner </w:t>
      </w:r>
      <w:r w:rsidR="00091339">
        <w:rPr>
          <w:lang w:val="en-US"/>
        </w:rPr>
        <w:t xml:space="preserve">change the ethical standards at which the public servants operate The acts as well as omissions when </w:t>
      </w:r>
      <w:r w:rsidR="00335B4F">
        <w:rPr>
          <w:lang w:val="en-US"/>
        </w:rPr>
        <w:t>are</w:t>
      </w:r>
      <w:r w:rsidR="00091339">
        <w:rPr>
          <w:lang w:val="en-US"/>
        </w:rPr>
        <w:t xml:space="preserve"> incongruent to the legal obligations should be made justiciable not only under public law domain but the criminal and private law domains</w:t>
      </w:r>
      <w:r w:rsidR="00335B4F">
        <w:rPr>
          <w:lang w:val="en-US"/>
        </w:rPr>
        <w:t xml:space="preserve">; so that complete justice can be ensured. </w:t>
      </w:r>
      <w:r>
        <w:rPr>
          <w:lang w:val="en-US"/>
        </w:rPr>
        <w:tab/>
      </w:r>
    </w:p>
    <w:sectPr w:rsidR="00AE42FE" w:rsidRPr="00AE42FE" w:rsidSect="000E7AAC">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2743E" w14:textId="77777777" w:rsidR="00FE5D43" w:rsidRDefault="00FE5D43" w:rsidP="00966181">
      <w:r>
        <w:separator/>
      </w:r>
    </w:p>
  </w:endnote>
  <w:endnote w:type="continuationSeparator" w:id="0">
    <w:p w14:paraId="385CD0D5" w14:textId="77777777" w:rsidR="00FE5D43" w:rsidRDefault="00FE5D43" w:rsidP="00966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3358F" w14:textId="77777777" w:rsidR="00FE5D43" w:rsidRDefault="00FE5D43" w:rsidP="00966181">
      <w:r>
        <w:separator/>
      </w:r>
    </w:p>
  </w:footnote>
  <w:footnote w:type="continuationSeparator" w:id="0">
    <w:p w14:paraId="55E73FC6" w14:textId="77777777" w:rsidR="00FE5D43" w:rsidRDefault="00FE5D43" w:rsidP="00966181">
      <w:r>
        <w:continuationSeparator/>
      </w:r>
    </w:p>
  </w:footnote>
  <w:footnote w:id="1">
    <w:p w14:paraId="3615DFAE" w14:textId="085A684E" w:rsidR="0029554E" w:rsidRDefault="0029554E">
      <w:pPr>
        <w:pStyle w:val="FootnoteText"/>
      </w:pPr>
      <w:r>
        <w:rPr>
          <w:rStyle w:val="FootnoteReference"/>
        </w:rPr>
        <w:footnoteRef/>
      </w:r>
      <w:r w:rsidR="00163D74">
        <w:t xml:space="preserve"> </w:t>
      </w:r>
      <w:r w:rsidR="00345E85">
        <w:t>‘</w:t>
      </w:r>
      <w:r w:rsidR="00163D74" w:rsidRPr="00163D74">
        <w:t>5,178 encounters since 2017: UP Police boasts of killing 103, injuring 1,859</w:t>
      </w:r>
      <w:r w:rsidR="00345E85">
        <w:t>’</w:t>
      </w:r>
      <w:r w:rsidR="00163D74">
        <w:t xml:space="preserve">, </w:t>
      </w:r>
      <w:r w:rsidR="00163D74" w:rsidRPr="00036EC1">
        <w:rPr>
          <w:smallCaps/>
        </w:rPr>
        <w:t>The Week</w:t>
      </w:r>
      <w:r w:rsidR="00163D74">
        <w:t xml:space="preserve">, </w:t>
      </w:r>
      <w:r w:rsidR="00163D74" w:rsidRPr="00163D74">
        <w:t>December 6, 2019</w:t>
      </w:r>
      <w:r w:rsidR="00345E85">
        <w:t xml:space="preserve"> </w:t>
      </w:r>
      <w:r w:rsidR="00163D74">
        <w:t>&lt;</w:t>
      </w:r>
      <w:hyperlink r:id="rId1" w:history="1">
        <w:r w:rsidR="00163D74" w:rsidRPr="00E06DC0">
          <w:rPr>
            <w:rStyle w:val="Hyperlink"/>
          </w:rPr>
          <w:t>https://www.theweek.in/news/india/2019/12/06/5-1-encounters-since-2017-up-police-boasts-of-killing-103-injuring-1-8.html</w:t>
        </w:r>
      </w:hyperlink>
      <w:r w:rsidR="00163D74">
        <w:t xml:space="preserve">&gt;. </w:t>
      </w:r>
    </w:p>
  </w:footnote>
  <w:footnote w:id="2">
    <w:p w14:paraId="44ED6CC9" w14:textId="1E5054DF" w:rsidR="0029554E" w:rsidRDefault="0029554E">
      <w:pPr>
        <w:pStyle w:val="FootnoteText"/>
      </w:pPr>
      <w:r>
        <w:rPr>
          <w:rStyle w:val="FootnoteReference"/>
        </w:rPr>
        <w:footnoteRef/>
      </w:r>
      <w:r>
        <w:t xml:space="preserve"> </w:t>
      </w:r>
      <w:r w:rsidR="00163D74">
        <w:t xml:space="preserve">Stuti Mishra, </w:t>
      </w:r>
      <w:r w:rsidR="00345E85">
        <w:t>‘</w:t>
      </w:r>
      <w:r w:rsidR="00163D74" w:rsidRPr="00163D74">
        <w:t>Death of Muslim man in custody sparks outrage in India</w:t>
      </w:r>
      <w:r w:rsidR="00345E85">
        <w:t>’</w:t>
      </w:r>
      <w:r w:rsidR="00163D74">
        <w:t xml:space="preserve">, </w:t>
      </w:r>
      <w:r w:rsidR="00163D74" w:rsidRPr="00036EC1">
        <w:rPr>
          <w:smallCaps/>
        </w:rPr>
        <w:t>Independent</w:t>
      </w:r>
      <w:r w:rsidR="00163D74">
        <w:t xml:space="preserve">, </w:t>
      </w:r>
      <w:r w:rsidR="00163D74" w:rsidRPr="00163D74">
        <w:t>November</w:t>
      </w:r>
      <w:r w:rsidR="00345E85">
        <w:t xml:space="preserve"> 11,</w:t>
      </w:r>
      <w:r w:rsidR="00163D74" w:rsidRPr="00163D74">
        <w:t xml:space="preserve"> 2021</w:t>
      </w:r>
      <w:r w:rsidR="00345E85">
        <w:t xml:space="preserve"> </w:t>
      </w:r>
      <w:r w:rsidR="00163D74">
        <w:t>&lt;</w:t>
      </w:r>
      <w:hyperlink r:id="rId2" w:history="1">
        <w:r w:rsidR="00163D74" w:rsidRPr="00020D6D">
          <w:rPr>
            <w:rStyle w:val="Hyperlink"/>
          </w:rPr>
          <w:t>https://www.independent.co.uk/asia/india/kasganj-muslim-boy-death-police-custody-b1955823.html</w:t>
        </w:r>
      </w:hyperlink>
      <w:r w:rsidR="00163D74">
        <w:t xml:space="preserve">&gt;. </w:t>
      </w:r>
    </w:p>
  </w:footnote>
  <w:footnote w:id="3">
    <w:p w14:paraId="4C02D813" w14:textId="2FC73574" w:rsidR="0029554E" w:rsidRDefault="0029554E">
      <w:pPr>
        <w:pStyle w:val="FootnoteText"/>
      </w:pPr>
      <w:r>
        <w:rPr>
          <w:rStyle w:val="FootnoteReference"/>
        </w:rPr>
        <w:footnoteRef/>
      </w:r>
      <w:r>
        <w:t xml:space="preserve"> </w:t>
      </w:r>
      <w:r w:rsidR="00036EC1">
        <w:t>‘</w:t>
      </w:r>
      <w:r w:rsidR="00163D74" w:rsidRPr="00163D74">
        <w:t>George Floyd Death Drives Police Accountability Laws Nationwide</w:t>
      </w:r>
      <w:r w:rsidR="00036EC1">
        <w:t>’</w:t>
      </w:r>
      <w:r w:rsidR="00163D74" w:rsidRPr="00163D74">
        <w:t xml:space="preserve">, </w:t>
      </w:r>
      <w:r w:rsidR="00163D74" w:rsidRPr="00036EC1">
        <w:rPr>
          <w:smallCaps/>
        </w:rPr>
        <w:t>Bloomberg Law</w:t>
      </w:r>
      <w:r w:rsidR="00163D74" w:rsidRPr="00163D74">
        <w:t>, March 18, 2021,</w:t>
      </w:r>
      <w:r w:rsidR="00345E85">
        <w:t xml:space="preserve"> </w:t>
      </w:r>
      <w:r w:rsidR="00163D74">
        <w:t>&lt;</w:t>
      </w:r>
      <w:hyperlink r:id="rId3" w:history="1">
        <w:r w:rsidR="00163D74" w:rsidRPr="00E06DC0">
          <w:rPr>
            <w:rStyle w:val="Hyperlink"/>
          </w:rPr>
          <w:t>https://news.bloomberglaw.com/social-justice/george-floyd-death-drives-police-accountability-laws-nationwide</w:t>
        </w:r>
      </w:hyperlink>
      <w:r w:rsidR="00163D74">
        <w:t xml:space="preserve">&gt;. </w:t>
      </w:r>
    </w:p>
  </w:footnote>
  <w:footnote w:id="4">
    <w:p w14:paraId="4089EE64" w14:textId="256C481E" w:rsidR="000E7AAC" w:rsidRDefault="000E7AAC">
      <w:pPr>
        <w:pStyle w:val="FootnoteText"/>
      </w:pPr>
      <w:r>
        <w:rPr>
          <w:rStyle w:val="FootnoteReference"/>
        </w:rPr>
        <w:footnoteRef/>
      </w:r>
      <w:r>
        <w:t xml:space="preserve"> </w:t>
      </w:r>
      <w:r w:rsidR="0087578E">
        <w:t xml:space="preserve">Mads Andenas &amp; Duncan Fairgrieve, </w:t>
      </w:r>
      <w:r w:rsidR="00036EC1">
        <w:t>‘</w:t>
      </w:r>
      <w:r w:rsidR="0087578E">
        <w:t>Misfeasance in Public Office, Governmental Liability, and European Influences</w:t>
      </w:r>
      <w:r w:rsidR="00036EC1">
        <w:t>’</w:t>
      </w:r>
      <w:r w:rsidR="0087578E">
        <w:t xml:space="preserve">, 51 </w:t>
      </w:r>
      <w:r w:rsidR="0087578E" w:rsidRPr="00036EC1">
        <w:rPr>
          <w:smallCaps/>
        </w:rPr>
        <w:t>I</w:t>
      </w:r>
      <w:r w:rsidR="00036EC1" w:rsidRPr="00036EC1">
        <w:rPr>
          <w:smallCaps/>
        </w:rPr>
        <w:t>nt</w:t>
      </w:r>
      <w:r w:rsidR="0087578E" w:rsidRPr="00036EC1">
        <w:rPr>
          <w:smallCaps/>
        </w:rPr>
        <w:t>’l &amp; C</w:t>
      </w:r>
      <w:r w:rsidR="00036EC1" w:rsidRPr="00036EC1">
        <w:rPr>
          <w:smallCaps/>
        </w:rPr>
        <w:t>omp</w:t>
      </w:r>
      <w:r w:rsidR="0087578E" w:rsidRPr="00036EC1">
        <w:rPr>
          <w:smallCaps/>
        </w:rPr>
        <w:t>. L.Q.</w:t>
      </w:r>
      <w:r w:rsidR="0087578E">
        <w:t xml:space="preserve"> 757, 761 (2002).</w:t>
      </w:r>
    </w:p>
  </w:footnote>
  <w:footnote w:id="5">
    <w:p w14:paraId="6675E3B2" w14:textId="5B9EBF8F" w:rsidR="000E7AAC" w:rsidRDefault="000E7AAC">
      <w:pPr>
        <w:pStyle w:val="FootnoteText"/>
      </w:pPr>
      <w:r>
        <w:rPr>
          <w:rStyle w:val="FootnoteReference"/>
        </w:rPr>
        <w:footnoteRef/>
      </w:r>
      <w:r>
        <w:t xml:space="preserve"> Bourgoin SA</w:t>
      </w:r>
      <w:r w:rsidR="00497794">
        <w:t xml:space="preserve"> </w:t>
      </w:r>
      <w:r>
        <w:t>v</w:t>
      </w:r>
      <w:r w:rsidR="00497794">
        <w:t>.</w:t>
      </w:r>
      <w:r>
        <w:t xml:space="preserve"> MAFF</w:t>
      </w:r>
      <w:r w:rsidR="00497794">
        <w:t>,</w:t>
      </w:r>
      <w:r>
        <w:t xml:space="preserve"> [1986] QB 716, 776. See also Dunlop v</w:t>
      </w:r>
      <w:r w:rsidR="00497794">
        <w:t>.</w:t>
      </w:r>
      <w:r>
        <w:t xml:space="preserve"> Woollahra Municipal Council</w:t>
      </w:r>
      <w:r w:rsidR="00497794">
        <w:t>,</w:t>
      </w:r>
      <w:r>
        <w:t xml:space="preserve"> [1982] AC 158, 172.</w:t>
      </w:r>
    </w:p>
  </w:footnote>
  <w:footnote w:id="6">
    <w:p w14:paraId="456976CC" w14:textId="70D7CE68" w:rsidR="00966181" w:rsidRPr="00966181" w:rsidRDefault="00966181">
      <w:pPr>
        <w:pStyle w:val="FootnoteText"/>
        <w:rPr>
          <w:lang w:val="en-US"/>
        </w:rPr>
      </w:pPr>
      <w:r>
        <w:rPr>
          <w:rStyle w:val="FootnoteReference"/>
        </w:rPr>
        <w:footnoteRef/>
      </w:r>
      <w:r>
        <w:t xml:space="preserve"> Three Rivers District Council</w:t>
      </w:r>
      <w:r w:rsidR="00497794">
        <w:t xml:space="preserve"> v. Bank of England,</w:t>
      </w:r>
      <w:r>
        <w:t xml:space="preserve"> [2000] 2 WLR 1220 and [2001] UKHL 16.</w:t>
      </w:r>
    </w:p>
  </w:footnote>
  <w:footnote w:id="7">
    <w:p w14:paraId="06FF7F7D" w14:textId="2C43DB33" w:rsidR="00E22388" w:rsidRDefault="00E22388">
      <w:pPr>
        <w:pStyle w:val="FootnoteText"/>
      </w:pPr>
      <w:r>
        <w:rPr>
          <w:rStyle w:val="FootnoteReference"/>
        </w:rPr>
        <w:footnoteRef/>
      </w:r>
      <w:r>
        <w:t xml:space="preserve"> </w:t>
      </w:r>
      <w:r w:rsidR="009B1566">
        <w:t>The Constitution of India, art</w:t>
      </w:r>
      <w:r w:rsidR="00036EC1">
        <w:t>.</w:t>
      </w:r>
      <w:r w:rsidR="009B1566">
        <w:t xml:space="preserve"> 32 (1950). </w:t>
      </w:r>
    </w:p>
  </w:footnote>
  <w:footnote w:id="8">
    <w:p w14:paraId="49378B97" w14:textId="144F81BB" w:rsidR="00D415EC" w:rsidRDefault="00D415EC">
      <w:pPr>
        <w:pStyle w:val="FootnoteText"/>
      </w:pPr>
      <w:r>
        <w:rPr>
          <w:rStyle w:val="FootnoteReference"/>
        </w:rPr>
        <w:footnoteRef/>
      </w:r>
      <w:r>
        <w:t xml:space="preserve"> Rudal Sah </w:t>
      </w:r>
      <w:r w:rsidR="009B1566">
        <w:t>v. State of Bihar, AIR 1983 SC 1086</w:t>
      </w:r>
      <w:r>
        <w:t xml:space="preserve">; Nilabati Behera </w:t>
      </w:r>
      <w:r w:rsidR="009B1566">
        <w:t xml:space="preserve">v. State of Orissa, AIR 1993 SC 1960. </w:t>
      </w:r>
    </w:p>
  </w:footnote>
  <w:footnote w:id="9">
    <w:p w14:paraId="09E11BED" w14:textId="41238C43" w:rsidR="00466505" w:rsidRDefault="00466505">
      <w:pPr>
        <w:pStyle w:val="FootnoteText"/>
      </w:pPr>
      <w:r>
        <w:rPr>
          <w:rStyle w:val="FootnoteReference"/>
        </w:rPr>
        <w:footnoteRef/>
      </w:r>
      <w:r>
        <w:t xml:space="preserve"> State of Bihar v. Abdul Majid, AIR 1954 SC 245. </w:t>
      </w:r>
    </w:p>
  </w:footnote>
  <w:footnote w:id="10">
    <w:p w14:paraId="2D77A06A" w14:textId="6CDCFC8A" w:rsidR="00915F45" w:rsidRDefault="00915F45">
      <w:pPr>
        <w:pStyle w:val="FootnoteText"/>
      </w:pPr>
      <w:r>
        <w:rPr>
          <w:rStyle w:val="FootnoteReference"/>
        </w:rPr>
        <w:footnoteRef/>
      </w:r>
      <w:r>
        <w:t xml:space="preserve"> See, generally, Joginder Kaur v. State of Punjab, 1969 L.A.B. IC 501; State of Rajasthan v. Mst. Vidhyawati</w:t>
      </w:r>
      <w:r w:rsidR="009B1566">
        <w:t>,</w:t>
      </w:r>
      <w:r>
        <w:t xml:space="preserve"> </w:t>
      </w:r>
      <w:r w:rsidR="009B1566">
        <w:t>AIR 1962 SC 933.</w:t>
      </w:r>
    </w:p>
  </w:footnote>
  <w:footnote w:id="11">
    <w:p w14:paraId="6B0D01D5" w14:textId="5473F2CD" w:rsidR="004662C5" w:rsidRDefault="004662C5">
      <w:pPr>
        <w:pStyle w:val="FootnoteText"/>
      </w:pPr>
      <w:r>
        <w:rPr>
          <w:rStyle w:val="FootnoteReference"/>
        </w:rPr>
        <w:footnoteRef/>
      </w:r>
      <w:r>
        <w:t xml:space="preserve"> </w:t>
      </w:r>
      <w:r w:rsidR="00C47C5B">
        <w:t xml:space="preserve">State of Maharashtra v. Ravi Kant Patil, AIR 1991 SC 871. </w:t>
      </w:r>
    </w:p>
  </w:footnote>
  <w:footnote w:id="12">
    <w:p w14:paraId="0A174401" w14:textId="4C9D321C" w:rsidR="0097372E" w:rsidRDefault="0097372E">
      <w:pPr>
        <w:pStyle w:val="FootnoteText"/>
      </w:pPr>
      <w:r>
        <w:rPr>
          <w:rStyle w:val="FootnoteReference"/>
        </w:rPr>
        <w:footnoteRef/>
      </w:r>
      <w:r>
        <w:t xml:space="preserve"> Indian Penal Code (1860).</w:t>
      </w:r>
    </w:p>
  </w:footnote>
  <w:footnote w:id="13">
    <w:p w14:paraId="7E92FDC5" w14:textId="4A9A59F4" w:rsidR="0097372E" w:rsidRDefault="0097372E">
      <w:pPr>
        <w:pStyle w:val="FootnoteText"/>
      </w:pPr>
      <w:r>
        <w:rPr>
          <w:rStyle w:val="FootnoteReference"/>
        </w:rPr>
        <w:footnoteRef/>
      </w:r>
      <w:r>
        <w:t xml:space="preserve"> Code of Criminal Procedure (1973). </w:t>
      </w:r>
    </w:p>
  </w:footnote>
  <w:footnote w:id="14">
    <w:p w14:paraId="4EEB6291" w14:textId="79CD43DA" w:rsidR="0097372E" w:rsidRDefault="0097372E">
      <w:pPr>
        <w:pStyle w:val="FootnoteText"/>
      </w:pPr>
      <w:r>
        <w:rPr>
          <w:rStyle w:val="FootnoteReference"/>
        </w:rPr>
        <w:footnoteRef/>
      </w:r>
      <w:r>
        <w:t xml:space="preserve"> Indian Penal Code, s. 166 (1860).</w:t>
      </w:r>
    </w:p>
  </w:footnote>
  <w:footnote w:id="15">
    <w:p w14:paraId="51AF9B80" w14:textId="7A82B4ED" w:rsidR="00A7356A" w:rsidRDefault="00A7356A">
      <w:pPr>
        <w:pStyle w:val="FootnoteText"/>
      </w:pPr>
      <w:r>
        <w:rPr>
          <w:rStyle w:val="FootnoteReference"/>
        </w:rPr>
        <w:footnoteRef/>
      </w:r>
      <w:r>
        <w:t xml:space="preserve"> State of Madhya Pradesh v. Saheb Dattamal, AIR 1967 MP 246; State of Orissa v. Padmalochan Panda, AIR 1975 Ori 41; State of Madhya Pradesh v. Chironji Lal, AIR 1981 MP 65; Roop Lal Abrol v. Union of India, AIR 1972 J&amp;K 22; State of Madhya Pradesh v. Premabai, AIR 1979 MP 85.</w:t>
      </w:r>
    </w:p>
  </w:footnote>
  <w:footnote w:id="16">
    <w:p w14:paraId="454B66CE" w14:textId="3AB7BDA8" w:rsidR="00A7356A" w:rsidRDefault="00A7356A">
      <w:pPr>
        <w:pStyle w:val="FootnoteText"/>
      </w:pPr>
      <w:r>
        <w:rPr>
          <w:rStyle w:val="FootnoteReference"/>
        </w:rPr>
        <w:footnoteRef/>
      </w:r>
      <w:r>
        <w:t xml:space="preserve"> State of Bihar v. Rameshwar Prasad Baidya</w:t>
      </w:r>
      <w:r w:rsidR="001E763B">
        <w:t xml:space="preserve">, AIR 1980 Pat 267. </w:t>
      </w:r>
    </w:p>
  </w:footnote>
  <w:footnote w:id="17">
    <w:p w14:paraId="1704F8FE" w14:textId="7090B2D3" w:rsidR="00A7356A" w:rsidRDefault="00A7356A" w:rsidP="006209A6">
      <w:pPr>
        <w:pStyle w:val="FootnoteText"/>
      </w:pPr>
      <w:r>
        <w:rPr>
          <w:rStyle w:val="FootnoteReference"/>
        </w:rPr>
        <w:footnoteRef/>
      </w:r>
      <w:r w:rsidR="006209A6">
        <w:t xml:space="preserve"> ‘Wrongful Prosecution (Miscarriage of Justice): Legal Remedies’, LCI, 2018 </w:t>
      </w:r>
      <w:r w:rsidR="003B4721">
        <w:t>&lt;</w:t>
      </w:r>
      <w:hyperlink r:id="rId4" w:history="1">
        <w:r w:rsidR="00163D74" w:rsidRPr="00020D6D">
          <w:rPr>
            <w:rStyle w:val="Hyperlink"/>
          </w:rPr>
          <w:t>https://lawcommissionofindia.nic.in/reports/Report277.pdf</w:t>
        </w:r>
      </w:hyperlink>
      <w:r w:rsidR="003B4721">
        <w:t>&gt;</w:t>
      </w:r>
      <w:r w:rsidR="006209A6">
        <w:t xml:space="preserve"> (‘LCI Report’).</w:t>
      </w:r>
    </w:p>
  </w:footnote>
  <w:footnote w:id="18">
    <w:p w14:paraId="49CC69C8" w14:textId="265732CA" w:rsidR="00FB716D" w:rsidRDefault="00FB716D">
      <w:pPr>
        <w:pStyle w:val="FootnoteText"/>
      </w:pPr>
      <w:r>
        <w:rPr>
          <w:rStyle w:val="FootnoteReference"/>
        </w:rPr>
        <w:footnoteRef/>
      </w:r>
      <w:r>
        <w:t xml:space="preserve"> </w:t>
      </w:r>
      <w:r w:rsidR="00C47C5B">
        <w:t>Such cases include</w:t>
      </w:r>
      <w:r>
        <w:t xml:space="preserve"> Khatri v. State of Bihar, AIR 1981 SC 1068 a</w:t>
      </w:r>
      <w:r w:rsidR="00C47C5B">
        <w:t xml:space="preserve">nd Bhim Singh v. State of Jammu and Kashmir (1985) 4 SCC 677. </w:t>
      </w:r>
    </w:p>
  </w:footnote>
  <w:footnote w:id="19">
    <w:p w14:paraId="7E77778F" w14:textId="630DDC98" w:rsidR="008E6968" w:rsidRDefault="008E6968">
      <w:pPr>
        <w:pStyle w:val="FootnoteText"/>
      </w:pPr>
      <w:r>
        <w:rPr>
          <w:rStyle w:val="FootnoteReference"/>
        </w:rPr>
        <w:footnoteRef/>
      </w:r>
      <w:r>
        <w:t xml:space="preserve"> See, generally, LCI </w:t>
      </w:r>
      <w:r w:rsidR="00345E85">
        <w:t>R</w:t>
      </w:r>
      <w:r>
        <w:t xml:space="preserve">eport pg. 83. </w:t>
      </w:r>
    </w:p>
  </w:footnote>
  <w:footnote w:id="20">
    <w:p w14:paraId="6C8DDA35" w14:textId="760ED3A8" w:rsidR="003F12F4" w:rsidRDefault="003F12F4">
      <w:pPr>
        <w:pStyle w:val="FootnoteText"/>
      </w:pPr>
      <w:r>
        <w:rPr>
          <w:rStyle w:val="FootnoteReference"/>
        </w:rPr>
        <w:footnoteRef/>
      </w:r>
      <w:r>
        <w:t xml:space="preserve"> Mads Andenas &amp; Duncan</w:t>
      </w:r>
      <w:r w:rsidR="00345E85">
        <w:t>,</w:t>
      </w:r>
      <w:r>
        <w:t xml:space="preserve"> </w:t>
      </w:r>
      <w:r w:rsidR="00345E85">
        <w:t>‘</w:t>
      </w:r>
      <w:r>
        <w:t>Fairgrieve, Misfeasance in Public Office, Governmental Liability, and European Influences</w:t>
      </w:r>
      <w:r w:rsidR="00345E85">
        <w:t>’</w:t>
      </w:r>
      <w:r>
        <w:t xml:space="preserve">, 51 </w:t>
      </w:r>
      <w:r w:rsidRPr="00345E85">
        <w:rPr>
          <w:smallCaps/>
        </w:rPr>
        <w:t>I</w:t>
      </w:r>
      <w:r w:rsidR="00345E85" w:rsidRPr="00345E85">
        <w:rPr>
          <w:smallCaps/>
        </w:rPr>
        <w:t>nt’l</w:t>
      </w:r>
      <w:r w:rsidRPr="00345E85">
        <w:rPr>
          <w:smallCaps/>
        </w:rPr>
        <w:t xml:space="preserve"> &amp; C</w:t>
      </w:r>
      <w:r w:rsidR="00345E85" w:rsidRPr="00345E85">
        <w:rPr>
          <w:smallCaps/>
        </w:rPr>
        <w:t>omp</w:t>
      </w:r>
      <w:r w:rsidRPr="00345E85">
        <w:rPr>
          <w:smallCaps/>
        </w:rPr>
        <w:t>. L.Q.</w:t>
      </w:r>
      <w:r>
        <w:t xml:space="preserve"> 757, 777 (2002).</w:t>
      </w:r>
    </w:p>
  </w:footnote>
  <w:footnote w:id="21">
    <w:p w14:paraId="3E04D0C4" w14:textId="7A4180C9" w:rsidR="00A0456A" w:rsidRDefault="00A0456A">
      <w:pPr>
        <w:pStyle w:val="FootnoteText"/>
      </w:pPr>
      <w:r>
        <w:rPr>
          <w:rStyle w:val="FootnoteReference"/>
        </w:rPr>
        <w:footnoteRef/>
      </w:r>
      <w:r>
        <w:t xml:space="preserve"> Kasturi Lal Ralia Ram Jain v. State of U.P., AIR 1964 SC 1039; </w:t>
      </w:r>
    </w:p>
  </w:footnote>
  <w:footnote w:id="22">
    <w:p w14:paraId="6513BB2D" w14:textId="740AF414" w:rsidR="00003398" w:rsidRDefault="00003398">
      <w:pPr>
        <w:pStyle w:val="FootnoteText"/>
      </w:pPr>
      <w:r>
        <w:rPr>
          <w:rStyle w:val="FootnoteReference"/>
        </w:rPr>
        <w:footnoteRef/>
      </w:r>
      <w:r>
        <w:t xml:space="preserve"> LCI</w:t>
      </w:r>
      <w:r w:rsidR="00345E85">
        <w:t xml:space="preserve"> Report</w:t>
      </w:r>
      <w:r>
        <w:t xml:space="preserve">, pg. 80. </w:t>
      </w:r>
    </w:p>
  </w:footnote>
  <w:footnote w:id="23">
    <w:p w14:paraId="0564C54D" w14:textId="652647AD" w:rsidR="00003398" w:rsidRDefault="00003398">
      <w:pPr>
        <w:pStyle w:val="FootnoteText"/>
      </w:pPr>
      <w:r>
        <w:rPr>
          <w:rStyle w:val="FootnoteReference"/>
        </w:rPr>
        <w:footnoteRef/>
      </w:r>
      <w:r>
        <w:t xml:space="preserve"> LCI</w:t>
      </w:r>
      <w:r w:rsidR="00345E85">
        <w:t xml:space="preserve"> Report, </w:t>
      </w:r>
      <w:r>
        <w:t xml:space="preserve">chapter V. </w:t>
      </w:r>
    </w:p>
  </w:footnote>
  <w:footnote w:id="24">
    <w:p w14:paraId="12E90D5F" w14:textId="22333B1D" w:rsidR="008E6968" w:rsidRDefault="008E6968">
      <w:pPr>
        <w:pStyle w:val="FootnoteText"/>
      </w:pPr>
      <w:r>
        <w:rPr>
          <w:rStyle w:val="FootnoteReference"/>
        </w:rPr>
        <w:footnoteRef/>
      </w:r>
      <w:r>
        <w:t xml:space="preserve"> </w:t>
      </w:r>
      <w:r w:rsidR="000C12B1">
        <w:t>Rudal Sah v. State of Bihar, AIR 1983 SC 1086; Nilabati Behera v. State of Orissa, AIR 1993 SC 1960; D. K. Basu v. State of West Bengal, AIR 1997 SC 610; Dr. Rini Johar v. State of M. P., Criminal Writ Petition No. 30 of 2015, decided on 3 June 2016.</w:t>
      </w:r>
    </w:p>
  </w:footnote>
  <w:footnote w:id="25">
    <w:p w14:paraId="4919169F" w14:textId="0E8AF8F2" w:rsidR="002B42A7" w:rsidRDefault="002B42A7">
      <w:pPr>
        <w:pStyle w:val="FootnoteText"/>
      </w:pPr>
      <w:r>
        <w:rPr>
          <w:rStyle w:val="FootnoteReference"/>
        </w:rPr>
        <w:footnoteRef/>
      </w:r>
      <w:r>
        <w:t xml:space="preserve"> LCI</w:t>
      </w:r>
      <w:r w:rsidR="00345E85">
        <w:t xml:space="preserve"> Report</w:t>
      </w:r>
      <w:r>
        <w:t xml:space="preserve">, pg. 85.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EC29B" w14:textId="7E400238" w:rsidR="000E7AAC" w:rsidRPr="000E7AAC" w:rsidRDefault="000E7AAC" w:rsidP="000E7AAC">
    <w:pPr>
      <w:pStyle w:val="Header"/>
      <w:jc w:val="center"/>
      <w:rPr>
        <w:sz w:val="20"/>
        <w:szCs w:val="20"/>
      </w:rPr>
    </w:pPr>
    <w:r w:rsidRPr="000E7AAC">
      <w:rPr>
        <w:sz w:val="20"/>
        <w:szCs w:val="20"/>
      </w:rPr>
      <w:t xml:space="preserve">A Submission to </w:t>
    </w:r>
    <w:r w:rsidR="00AE42FE">
      <w:rPr>
        <w:sz w:val="20"/>
        <w:szCs w:val="20"/>
      </w:rPr>
      <w:t xml:space="preserve">the </w:t>
    </w:r>
    <w:r w:rsidRPr="000E7AAC">
      <w:rPr>
        <w:sz w:val="20"/>
        <w:szCs w:val="20"/>
      </w:rPr>
      <w:t xml:space="preserve">Essay Writing Competition </w:t>
    </w:r>
    <w:r w:rsidR="00222446">
      <w:rPr>
        <w:sz w:val="20"/>
        <w:szCs w:val="20"/>
      </w:rPr>
      <w:t xml:space="preserve">| </w:t>
    </w:r>
    <w:r w:rsidRPr="000E7AAC">
      <w:rPr>
        <w:sz w:val="20"/>
        <w:szCs w:val="20"/>
      </w:rPr>
      <w:t>Lily Thomas &amp; Saju Jakob Advocates &amp; Solicitors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0A09E5"/>
    <w:multiLevelType w:val="hybridMultilevel"/>
    <w:tmpl w:val="514EA358"/>
    <w:lvl w:ilvl="0" w:tplc="6046B8B4">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wsDA1MjYwMzE1NzVS0lEKTi0uzszPAykwqQUAutsMfiwAAAA="/>
  </w:docVars>
  <w:rsids>
    <w:rsidRoot w:val="009B0F49"/>
    <w:rsid w:val="00003398"/>
    <w:rsid w:val="0001788F"/>
    <w:rsid w:val="00036EC1"/>
    <w:rsid w:val="000425FF"/>
    <w:rsid w:val="000443B2"/>
    <w:rsid w:val="0004657B"/>
    <w:rsid w:val="00085E00"/>
    <w:rsid w:val="000878DB"/>
    <w:rsid w:val="00091339"/>
    <w:rsid w:val="000C12B1"/>
    <w:rsid w:val="000E7AAC"/>
    <w:rsid w:val="000F5B0E"/>
    <w:rsid w:val="00131305"/>
    <w:rsid w:val="00163D74"/>
    <w:rsid w:val="001C7BCC"/>
    <w:rsid w:val="001D6B3B"/>
    <w:rsid w:val="001E763B"/>
    <w:rsid w:val="002204CC"/>
    <w:rsid w:val="00222446"/>
    <w:rsid w:val="00286BBA"/>
    <w:rsid w:val="00294EED"/>
    <w:rsid w:val="00295250"/>
    <w:rsid w:val="0029554E"/>
    <w:rsid w:val="0029648F"/>
    <w:rsid w:val="002A3017"/>
    <w:rsid w:val="002B23F7"/>
    <w:rsid w:val="002B42A7"/>
    <w:rsid w:val="00303C93"/>
    <w:rsid w:val="00322D42"/>
    <w:rsid w:val="00335B4F"/>
    <w:rsid w:val="00345E85"/>
    <w:rsid w:val="00360FE2"/>
    <w:rsid w:val="003B4721"/>
    <w:rsid w:val="003D6279"/>
    <w:rsid w:val="003E304E"/>
    <w:rsid w:val="003F12F4"/>
    <w:rsid w:val="00407C7C"/>
    <w:rsid w:val="00437063"/>
    <w:rsid w:val="004662C5"/>
    <w:rsid w:val="00466505"/>
    <w:rsid w:val="0049665B"/>
    <w:rsid w:val="00497794"/>
    <w:rsid w:val="004D66AB"/>
    <w:rsid w:val="004F4681"/>
    <w:rsid w:val="00513E1C"/>
    <w:rsid w:val="0055357E"/>
    <w:rsid w:val="00593B89"/>
    <w:rsid w:val="006209A6"/>
    <w:rsid w:val="00632053"/>
    <w:rsid w:val="00640B0A"/>
    <w:rsid w:val="006529E5"/>
    <w:rsid w:val="006B6D5A"/>
    <w:rsid w:val="006F2633"/>
    <w:rsid w:val="00793B72"/>
    <w:rsid w:val="007C4D80"/>
    <w:rsid w:val="007D082E"/>
    <w:rsid w:val="00803275"/>
    <w:rsid w:val="00824EAE"/>
    <w:rsid w:val="00826248"/>
    <w:rsid w:val="008336B5"/>
    <w:rsid w:val="0087578E"/>
    <w:rsid w:val="008B2016"/>
    <w:rsid w:val="008C3B39"/>
    <w:rsid w:val="008C3B8F"/>
    <w:rsid w:val="008E6968"/>
    <w:rsid w:val="008F3D03"/>
    <w:rsid w:val="00915F45"/>
    <w:rsid w:val="00955314"/>
    <w:rsid w:val="00966181"/>
    <w:rsid w:val="0097372E"/>
    <w:rsid w:val="00981E84"/>
    <w:rsid w:val="009945EC"/>
    <w:rsid w:val="009B0F49"/>
    <w:rsid w:val="009B1566"/>
    <w:rsid w:val="009C330F"/>
    <w:rsid w:val="009E63CA"/>
    <w:rsid w:val="00A0456A"/>
    <w:rsid w:val="00A14D72"/>
    <w:rsid w:val="00A20D59"/>
    <w:rsid w:val="00A30DDF"/>
    <w:rsid w:val="00A313BE"/>
    <w:rsid w:val="00A41E85"/>
    <w:rsid w:val="00A5581C"/>
    <w:rsid w:val="00A648A0"/>
    <w:rsid w:val="00A7356A"/>
    <w:rsid w:val="00A805EB"/>
    <w:rsid w:val="00AE42FE"/>
    <w:rsid w:val="00B552C1"/>
    <w:rsid w:val="00BC3D69"/>
    <w:rsid w:val="00BD46D2"/>
    <w:rsid w:val="00C47C5B"/>
    <w:rsid w:val="00C522D4"/>
    <w:rsid w:val="00C61530"/>
    <w:rsid w:val="00CD145C"/>
    <w:rsid w:val="00D37E23"/>
    <w:rsid w:val="00D415EC"/>
    <w:rsid w:val="00D61067"/>
    <w:rsid w:val="00DE39D4"/>
    <w:rsid w:val="00E22388"/>
    <w:rsid w:val="00E42060"/>
    <w:rsid w:val="00E44EEA"/>
    <w:rsid w:val="00E642CF"/>
    <w:rsid w:val="00E7453E"/>
    <w:rsid w:val="00EE7295"/>
    <w:rsid w:val="00F212B1"/>
    <w:rsid w:val="00F92421"/>
    <w:rsid w:val="00FB716D"/>
    <w:rsid w:val="00FE17B4"/>
    <w:rsid w:val="00FE5D4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ECD06"/>
  <w15:chartTrackingRefBased/>
  <w15:docId w15:val="{A8C6CCCD-D48B-4AFE-9A1A-E8688F95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65B"/>
    <w:pPr>
      <w:spacing w:after="0" w:line="240" w:lineRule="auto"/>
      <w:jc w:val="both"/>
    </w:pPr>
    <w:rPr>
      <w:rFonts w:ascii="Times New Roman" w:hAnsi="Times New Roman"/>
      <w:sz w:val="24"/>
      <w:szCs w:val="24"/>
    </w:rPr>
  </w:style>
  <w:style w:type="paragraph" w:styleId="Heading1">
    <w:name w:val="heading 1"/>
    <w:basedOn w:val="Normal"/>
    <w:next w:val="Normal"/>
    <w:link w:val="Heading1Char"/>
    <w:uiPriority w:val="9"/>
    <w:qFormat/>
    <w:rsid w:val="00295250"/>
    <w:pPr>
      <w:keepNext/>
      <w:keepLines/>
      <w:spacing w:before="240"/>
      <w:outlineLvl w:val="0"/>
    </w:pPr>
    <w:rPr>
      <w:rFonts w:eastAsiaTheme="majorEastAsia" w:cstheme="majorBidi"/>
      <w:smallCaps/>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357E"/>
    <w:pPr>
      <w:pBdr>
        <w:bottom w:val="single" w:sz="4" w:space="1" w:color="auto"/>
      </w:pBdr>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55357E"/>
    <w:rPr>
      <w:rFonts w:ascii="Times New Roman" w:eastAsiaTheme="majorEastAsia" w:hAnsi="Times New Roman" w:cstheme="majorBidi"/>
      <w:b/>
      <w:spacing w:val="-10"/>
      <w:kern w:val="28"/>
      <w:sz w:val="32"/>
      <w:szCs w:val="56"/>
    </w:rPr>
  </w:style>
  <w:style w:type="character" w:customStyle="1" w:styleId="Heading1Char">
    <w:name w:val="Heading 1 Char"/>
    <w:basedOn w:val="DefaultParagraphFont"/>
    <w:link w:val="Heading1"/>
    <w:uiPriority w:val="9"/>
    <w:rsid w:val="00295250"/>
    <w:rPr>
      <w:rFonts w:ascii="Times New Roman" w:eastAsiaTheme="majorEastAsia" w:hAnsi="Times New Roman" w:cstheme="majorBidi"/>
      <w:smallCaps/>
      <w:color w:val="000000" w:themeColor="text1"/>
      <w:sz w:val="28"/>
      <w:szCs w:val="32"/>
    </w:rPr>
  </w:style>
  <w:style w:type="paragraph" w:styleId="ListParagraph">
    <w:name w:val="List Paragraph"/>
    <w:basedOn w:val="Normal"/>
    <w:uiPriority w:val="34"/>
    <w:qFormat/>
    <w:rsid w:val="006529E5"/>
    <w:pPr>
      <w:ind w:left="720"/>
      <w:contextualSpacing/>
    </w:pPr>
  </w:style>
  <w:style w:type="paragraph" w:styleId="FootnoteText">
    <w:name w:val="footnote text"/>
    <w:basedOn w:val="Normal"/>
    <w:link w:val="FootnoteTextChar"/>
    <w:uiPriority w:val="99"/>
    <w:semiHidden/>
    <w:unhideWhenUsed/>
    <w:rsid w:val="00966181"/>
    <w:rPr>
      <w:sz w:val="20"/>
      <w:szCs w:val="20"/>
    </w:rPr>
  </w:style>
  <w:style w:type="character" w:customStyle="1" w:styleId="FootnoteTextChar">
    <w:name w:val="Footnote Text Char"/>
    <w:basedOn w:val="DefaultParagraphFont"/>
    <w:link w:val="FootnoteText"/>
    <w:uiPriority w:val="99"/>
    <w:semiHidden/>
    <w:rsid w:val="00966181"/>
    <w:rPr>
      <w:rFonts w:ascii="Times New Roman" w:hAnsi="Times New Roman"/>
      <w:sz w:val="20"/>
      <w:szCs w:val="20"/>
    </w:rPr>
  </w:style>
  <w:style w:type="character" w:styleId="FootnoteReference">
    <w:name w:val="footnote reference"/>
    <w:basedOn w:val="DefaultParagraphFont"/>
    <w:uiPriority w:val="99"/>
    <w:semiHidden/>
    <w:unhideWhenUsed/>
    <w:rsid w:val="00966181"/>
    <w:rPr>
      <w:vertAlign w:val="superscript"/>
    </w:rPr>
  </w:style>
  <w:style w:type="paragraph" w:styleId="Header">
    <w:name w:val="header"/>
    <w:basedOn w:val="Normal"/>
    <w:link w:val="HeaderChar"/>
    <w:uiPriority w:val="99"/>
    <w:unhideWhenUsed/>
    <w:rsid w:val="000E7AAC"/>
    <w:pPr>
      <w:tabs>
        <w:tab w:val="center" w:pos="4513"/>
        <w:tab w:val="right" w:pos="9026"/>
      </w:tabs>
    </w:pPr>
  </w:style>
  <w:style w:type="character" w:customStyle="1" w:styleId="HeaderChar">
    <w:name w:val="Header Char"/>
    <w:basedOn w:val="DefaultParagraphFont"/>
    <w:link w:val="Header"/>
    <w:uiPriority w:val="99"/>
    <w:rsid w:val="000E7AAC"/>
    <w:rPr>
      <w:rFonts w:ascii="Times New Roman" w:hAnsi="Times New Roman"/>
      <w:sz w:val="24"/>
      <w:szCs w:val="24"/>
    </w:rPr>
  </w:style>
  <w:style w:type="paragraph" w:styleId="Footer">
    <w:name w:val="footer"/>
    <w:basedOn w:val="Normal"/>
    <w:link w:val="FooterChar"/>
    <w:uiPriority w:val="99"/>
    <w:unhideWhenUsed/>
    <w:rsid w:val="000E7AAC"/>
    <w:pPr>
      <w:tabs>
        <w:tab w:val="center" w:pos="4513"/>
        <w:tab w:val="right" w:pos="9026"/>
      </w:tabs>
    </w:pPr>
  </w:style>
  <w:style w:type="character" w:customStyle="1" w:styleId="FooterChar">
    <w:name w:val="Footer Char"/>
    <w:basedOn w:val="DefaultParagraphFont"/>
    <w:link w:val="Footer"/>
    <w:uiPriority w:val="99"/>
    <w:rsid w:val="000E7AAC"/>
    <w:rPr>
      <w:rFonts w:ascii="Times New Roman" w:hAnsi="Times New Roman"/>
      <w:sz w:val="24"/>
      <w:szCs w:val="24"/>
    </w:rPr>
  </w:style>
  <w:style w:type="character" w:styleId="Hyperlink">
    <w:name w:val="Hyperlink"/>
    <w:basedOn w:val="DefaultParagraphFont"/>
    <w:uiPriority w:val="99"/>
    <w:unhideWhenUsed/>
    <w:rsid w:val="003B4721"/>
    <w:rPr>
      <w:color w:val="0000FF"/>
      <w:u w:val="single"/>
    </w:rPr>
  </w:style>
  <w:style w:type="character" w:styleId="UnresolvedMention">
    <w:name w:val="Unresolved Mention"/>
    <w:basedOn w:val="DefaultParagraphFont"/>
    <w:uiPriority w:val="99"/>
    <w:semiHidden/>
    <w:unhideWhenUsed/>
    <w:rsid w:val="003B4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527220">
      <w:bodyDiv w:val="1"/>
      <w:marLeft w:val="0"/>
      <w:marRight w:val="0"/>
      <w:marTop w:val="0"/>
      <w:marBottom w:val="0"/>
      <w:divBdr>
        <w:top w:val="none" w:sz="0" w:space="0" w:color="auto"/>
        <w:left w:val="none" w:sz="0" w:space="0" w:color="auto"/>
        <w:bottom w:val="none" w:sz="0" w:space="0" w:color="auto"/>
        <w:right w:val="none" w:sz="0" w:space="0" w:color="auto"/>
      </w:divBdr>
    </w:div>
    <w:div w:id="741489239">
      <w:bodyDiv w:val="1"/>
      <w:marLeft w:val="0"/>
      <w:marRight w:val="0"/>
      <w:marTop w:val="0"/>
      <w:marBottom w:val="0"/>
      <w:divBdr>
        <w:top w:val="none" w:sz="0" w:space="0" w:color="auto"/>
        <w:left w:val="none" w:sz="0" w:space="0" w:color="auto"/>
        <w:bottom w:val="none" w:sz="0" w:space="0" w:color="auto"/>
        <w:right w:val="none" w:sz="0" w:space="0" w:color="auto"/>
      </w:divBdr>
    </w:div>
    <w:div w:id="117322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news.bloomberglaw.com/social-justice/george-floyd-death-drives-police-accountability-laws-nationwide" TargetMode="External"/><Relationship Id="rId2" Type="http://schemas.openxmlformats.org/officeDocument/2006/relationships/hyperlink" Target="https://www.independent.co.uk/asia/india/kasganj-muslim-boy-death-police-custody-b1955823.html" TargetMode="External"/><Relationship Id="rId1" Type="http://schemas.openxmlformats.org/officeDocument/2006/relationships/hyperlink" Target="https://www.theweek.in/news/india/2019/12/06/5-1-encounters-since-2017-up-police-boasts-of-killing-103-injuring-1-8.html" TargetMode="External"/><Relationship Id="rId4" Type="http://schemas.openxmlformats.org/officeDocument/2006/relationships/hyperlink" Target="https://lawcommissionofindia.nic.in/reports/Report27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6</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73</cp:revision>
  <dcterms:created xsi:type="dcterms:W3CDTF">2021-12-03T13:19:00Z</dcterms:created>
  <dcterms:modified xsi:type="dcterms:W3CDTF">2021-12-04T14:29:00Z</dcterms:modified>
</cp:coreProperties>
</file>